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20E3">
      <w:pPr>
        <w:spacing w:before="480" w:after="480" w:line="288" w:lineRule="auto"/>
        <w:rPr>
          <w:rFonts w:ascii="Arial" w:hAnsi="Arial" w:eastAsia="等线" w:cs="Arial"/>
          <w:b/>
          <w:sz w:val="52"/>
        </w:rPr>
      </w:pPr>
      <w:bookmarkStart w:id="0" w:name="_Hlk167478217"/>
      <w:bookmarkEnd w:id="0"/>
    </w:p>
    <w:p w14:paraId="2EA3C463">
      <w:pPr>
        <w:spacing w:before="480" w:after="480" w:line="288" w:lineRule="auto"/>
        <w:rPr>
          <w:rFonts w:ascii="Arial" w:hAnsi="Arial" w:eastAsia="等线" w:cs="Arial"/>
          <w:b/>
          <w:sz w:val="52"/>
        </w:rPr>
      </w:pPr>
    </w:p>
    <w:p w14:paraId="526068CD">
      <w:pPr>
        <w:spacing w:before="480" w:after="480" w:line="288" w:lineRule="auto"/>
        <w:rPr>
          <w:rFonts w:ascii="Arial" w:hAnsi="Arial" w:eastAsia="等线" w:cs="Arial"/>
          <w:b/>
          <w:sz w:val="52"/>
        </w:rPr>
      </w:pPr>
    </w:p>
    <w:p w14:paraId="646E7C98">
      <w:pPr>
        <w:spacing w:before="480" w:after="480" w:line="288" w:lineRule="auto"/>
        <w:rPr>
          <w:rFonts w:ascii="Arial" w:hAnsi="Arial" w:eastAsia="等线" w:cs="Arial"/>
          <w:b/>
          <w:sz w:val="52"/>
        </w:rPr>
      </w:pPr>
    </w:p>
    <w:p w14:paraId="1A4FEE0F">
      <w:pPr>
        <w:pStyle w:val="9"/>
        <w:outlineLvl w:val="9"/>
        <w:rPr>
          <w:rFonts w:hint="eastAsia" w:ascii="黑体" w:hAnsi="黑体" w:eastAsia="黑体" w:cs="Times New Roman"/>
          <w:b w:val="0"/>
          <w:sz w:val="52"/>
          <w:szCs w:val="52"/>
          <w14:ligatures w14:val="none"/>
        </w:rPr>
      </w:pPr>
      <w:r>
        <w:rPr>
          <w:rFonts w:hint="eastAsia" w:ascii="黑体" w:hAnsi="黑体" w:eastAsia="黑体" w:cs="Times New Roman"/>
          <w:b w:val="0"/>
          <w:sz w:val="52"/>
          <w:szCs w:val="52"/>
          <w14:ligatures w14:val="none"/>
        </w:rPr>
        <w:t>商</w:t>
      </w:r>
      <w:r>
        <w:rPr>
          <w:rFonts w:hint="eastAsia" w:ascii="黑体" w:hAnsi="黑体" w:eastAsia="黑体" w:cs="Times New Roman"/>
          <w:b w:val="0"/>
          <w:sz w:val="52"/>
          <w:szCs w:val="52"/>
          <w:lang w:val="en-US" w:eastAsia="zh-CN"/>
          <w14:ligatures w14:val="none"/>
        </w:rPr>
        <w:t>务</w:t>
      </w:r>
      <w:r>
        <w:rPr>
          <w:rFonts w:hint="eastAsia" w:ascii="黑体" w:hAnsi="黑体" w:eastAsia="黑体" w:cs="Times New Roman"/>
          <w:b w:val="0"/>
          <w:sz w:val="52"/>
          <w:szCs w:val="52"/>
          <w14:ligatures w14:val="none"/>
        </w:rPr>
        <w:t>楼宇净零运营与碳中和</w:t>
      </w:r>
      <w:r>
        <w:rPr>
          <w:rFonts w:ascii="黑体" w:hAnsi="黑体" w:eastAsia="黑体" w:cs="Times New Roman"/>
          <w:b w:val="0"/>
          <w:sz w:val="52"/>
          <w:szCs w:val="52"/>
          <w14:ligatures w14:val="none"/>
        </w:rPr>
        <w:t>评价</w:t>
      </w:r>
      <w:r>
        <w:rPr>
          <w:rFonts w:hint="eastAsia" w:ascii="黑体" w:hAnsi="黑体" w:eastAsia="黑体" w:cs="Times New Roman"/>
          <w:b w:val="0"/>
          <w:sz w:val="52"/>
          <w:szCs w:val="52"/>
          <w14:ligatures w14:val="none"/>
        </w:rPr>
        <w:t>规范</w:t>
      </w:r>
    </w:p>
    <w:p w14:paraId="2AC79AD0">
      <w:pPr>
        <w:jc w:val="center"/>
        <w:rPr>
          <w:rFonts w:hint="default" w:eastAsia="黑体"/>
          <w:lang w:val="en-US" w:eastAsia="zh-CN"/>
        </w:rPr>
      </w:pPr>
      <w:bookmarkStart w:id="71" w:name="_GoBack"/>
      <w:bookmarkEnd w:id="71"/>
      <w:r>
        <w:rPr>
          <w:rFonts w:hint="eastAsia" w:ascii="黑体" w:hAnsi="黑体" w:eastAsia="黑体" w:cs="Times New Roman"/>
          <w:b w:val="0"/>
          <w:sz w:val="52"/>
          <w:szCs w:val="52"/>
          <w:lang w:val="en-US" w:eastAsia="zh-CN"/>
          <w14:ligatures w14:val="none"/>
        </w:rPr>
        <w:t>征求意见稿</w:t>
      </w:r>
    </w:p>
    <w:p w14:paraId="4B453882"/>
    <w:p w14:paraId="18B34E86">
      <w:pPr>
        <w:jc w:val="center"/>
        <w:rPr>
          <w:rFonts w:ascii="Times New Roman" w:hAnsi="Times New Roman" w:cs="Times New Roman"/>
          <w:sz w:val="28"/>
          <w:szCs w:val="32"/>
        </w:rPr>
      </w:pPr>
      <w:r>
        <w:rPr>
          <w:rFonts w:hint="eastAsia" w:ascii="Times New Roman" w:hAnsi="Times New Roman" w:cs="Times New Roman"/>
          <w:sz w:val="28"/>
          <w:szCs w:val="32"/>
        </w:rPr>
        <w:t xml:space="preserve">Specification </w:t>
      </w:r>
      <w:r>
        <w:rPr>
          <w:rFonts w:ascii="Times New Roman" w:hAnsi="Times New Roman" w:cs="Times New Roman"/>
          <w:sz w:val="28"/>
          <w:szCs w:val="32"/>
        </w:rPr>
        <w:t xml:space="preserve">for the evaluation of </w:t>
      </w:r>
      <w:r>
        <w:rPr>
          <w:rFonts w:hint="eastAsia" w:ascii="Times New Roman" w:hAnsi="Times New Roman" w:cs="Times New Roman"/>
          <w:sz w:val="28"/>
          <w:szCs w:val="32"/>
        </w:rPr>
        <w:t>c</w:t>
      </w:r>
      <w:r>
        <w:rPr>
          <w:rFonts w:ascii="Times New Roman" w:hAnsi="Times New Roman" w:cs="Times New Roman"/>
          <w:sz w:val="28"/>
          <w:szCs w:val="32"/>
        </w:rPr>
        <w:t>ommercial building net-zero operation</w:t>
      </w:r>
      <w:r>
        <w:rPr>
          <w:rFonts w:hint="eastAsia" w:ascii="Times New Roman" w:hAnsi="Times New Roman" w:cs="Times New Roman"/>
          <w:sz w:val="28"/>
          <w:szCs w:val="32"/>
        </w:rPr>
        <w:t xml:space="preserve"> </w:t>
      </w:r>
      <w:r>
        <w:rPr>
          <w:rFonts w:ascii="Times New Roman" w:hAnsi="Times New Roman" w:cs="Times New Roman"/>
          <w:sz w:val="28"/>
          <w:szCs w:val="32"/>
        </w:rPr>
        <w:t>and carbon neutrality</w:t>
      </w:r>
    </w:p>
    <w:p w14:paraId="035478CF">
      <w:pPr>
        <w:widowControl/>
        <w:jc w:val="left"/>
        <w:rPr>
          <w:rFonts w:ascii="Arial" w:hAnsi="Arial" w:eastAsia="等线" w:cs="Arial"/>
          <w:b/>
          <w:sz w:val="52"/>
        </w:rPr>
      </w:pPr>
      <w:r>
        <w:rPr>
          <w:rFonts w:ascii="Arial" w:hAnsi="Arial" w:eastAsia="等线" w:cs="Arial"/>
          <w:b/>
          <w:sz w:val="52"/>
        </w:rPr>
        <w:br w:type="page"/>
      </w:r>
    </w:p>
    <w:p w14:paraId="2E251642">
      <w:pPr>
        <w:spacing w:before="240" w:after="240"/>
        <w:jc w:val="center"/>
        <w:rPr>
          <w:rFonts w:ascii="黑体" w:hAnsi="黑体" w:eastAsia="黑体"/>
          <w:sz w:val="32"/>
          <w:szCs w:val="32"/>
        </w:rPr>
      </w:pPr>
      <w:bookmarkStart w:id="1" w:name="_Int_I6xZ1tVo"/>
      <w:r>
        <w:rPr>
          <w:rFonts w:ascii="黑体" w:hAnsi="黑体" w:eastAsia="黑体"/>
          <w:sz w:val="32"/>
          <w:szCs w:val="32"/>
        </w:rPr>
        <w:t>目</w:t>
      </w:r>
      <w:bookmarkStart w:id="2" w:name="OLE_LINK2"/>
      <w:r>
        <w:rPr>
          <w:rFonts w:ascii="黑体" w:hAnsi="黑体" w:eastAsia="黑体"/>
          <w:sz w:val="32"/>
          <w:szCs w:val="32"/>
        </w:rPr>
        <w:t xml:space="preserve">   </w:t>
      </w:r>
      <w:bookmarkEnd w:id="2"/>
      <w:r>
        <w:rPr>
          <w:rFonts w:ascii="黑体" w:hAnsi="黑体" w:eastAsia="黑体"/>
          <w:sz w:val="32"/>
          <w:szCs w:val="32"/>
        </w:rPr>
        <w:t>次</w:t>
      </w:r>
      <w:bookmarkEnd w:id="1"/>
    </w:p>
    <w:sdt>
      <w:sdtPr>
        <w:rPr>
          <w:rFonts w:asciiTheme="minorHAnsi" w:hAnsiTheme="minorHAnsi" w:eastAsiaTheme="minorEastAsia" w:cstheme="minorBidi"/>
          <w:color w:val="auto"/>
          <w:kern w:val="2"/>
          <w:sz w:val="21"/>
          <w:szCs w:val="21"/>
          <w:lang w:val="zh-CN"/>
        </w:rPr>
        <w:id w:val="802197163"/>
        <w:docPartObj>
          <w:docPartGallery w:val="Table of Contents"/>
          <w:docPartUnique/>
        </w:docPartObj>
      </w:sdtPr>
      <w:sdtEndPr>
        <w:rPr>
          <w:rFonts w:asciiTheme="minorHAnsi" w:hAnsiTheme="minorHAnsi" w:eastAsiaTheme="minorEastAsia" w:cstheme="minorBidi"/>
          <w:b/>
          <w:color w:val="auto"/>
          <w:kern w:val="2"/>
          <w:sz w:val="21"/>
          <w:szCs w:val="21"/>
          <w:lang w:val="zh-CN"/>
        </w:rPr>
      </w:sdtEndPr>
      <w:sdtContent>
        <w:p w14:paraId="2ECCA928">
          <w:pPr>
            <w:pStyle w:val="19"/>
          </w:pPr>
        </w:p>
        <w:p w14:paraId="7CDBC1EB">
          <w:pPr>
            <w:pStyle w:val="7"/>
            <w:tabs>
              <w:tab w:val="left" w:pos="420"/>
              <w:tab w:val="right" w:leader="dot" w:pos="8964"/>
            </w:tabs>
            <w:rPr>
              <w:rFonts w:ascii="宋体" w:hAnsi="宋体" w:eastAsia="宋体"/>
            </w:rPr>
          </w:pPr>
          <w:r>
            <w:fldChar w:fldCharType="begin"/>
          </w:r>
          <w:r>
            <w:instrText xml:space="preserve"> TOC \o "1-3" \h \z \u </w:instrText>
          </w:r>
          <w:r>
            <w:fldChar w:fldCharType="separate"/>
          </w:r>
          <w:r>
            <w:fldChar w:fldCharType="begin"/>
          </w:r>
          <w:r>
            <w:instrText xml:space="preserve"> HYPERLINK \l "_Toc167487076" </w:instrText>
          </w:r>
          <w:r>
            <w:fldChar w:fldCharType="separate"/>
          </w:r>
          <w:r>
            <w:rPr>
              <w:rStyle w:val="14"/>
              <w:rFonts w:ascii="宋体" w:hAnsi="宋体" w:eastAsia="宋体"/>
              <w14:ligatures w14:val="none"/>
            </w:rPr>
            <w:t>1</w:t>
          </w:r>
          <w:r>
            <w:rPr>
              <w:rFonts w:ascii="宋体" w:hAnsi="宋体" w:eastAsia="宋体"/>
            </w:rPr>
            <w:tab/>
          </w:r>
          <w:r>
            <w:rPr>
              <w:rStyle w:val="14"/>
              <w:rFonts w:ascii="宋体" w:hAnsi="宋体" w:eastAsia="宋体"/>
              <w14:ligatures w14:val="none"/>
            </w:rPr>
            <w:t>范围</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_Toc167487076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14:paraId="15AB5C5E">
          <w:pPr>
            <w:pStyle w:val="7"/>
            <w:tabs>
              <w:tab w:val="left" w:pos="420"/>
              <w:tab w:val="right" w:leader="dot" w:pos="8964"/>
            </w:tabs>
            <w:rPr>
              <w:rFonts w:ascii="宋体" w:hAnsi="宋体" w:eastAsia="宋体"/>
            </w:rPr>
          </w:pPr>
          <w:r>
            <w:fldChar w:fldCharType="begin"/>
          </w:r>
          <w:r>
            <w:instrText xml:space="preserve"> HYPERLINK \l "_Toc167487077" </w:instrText>
          </w:r>
          <w:r>
            <w:fldChar w:fldCharType="separate"/>
          </w:r>
          <w:r>
            <w:rPr>
              <w:rStyle w:val="14"/>
              <w:rFonts w:ascii="宋体" w:hAnsi="宋体" w:eastAsia="宋体"/>
              <w14:ligatures w14:val="none"/>
            </w:rPr>
            <w:t>2</w:t>
          </w:r>
          <w:r>
            <w:rPr>
              <w:rFonts w:ascii="宋体" w:hAnsi="宋体" w:eastAsia="宋体"/>
            </w:rPr>
            <w:tab/>
          </w:r>
          <w:r>
            <w:rPr>
              <w:rStyle w:val="14"/>
              <w:rFonts w:ascii="宋体" w:hAnsi="宋体" w:eastAsia="宋体"/>
              <w14:ligatures w14:val="none"/>
            </w:rPr>
            <w:t>规范性引用</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_Toc167487077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14:paraId="6A034FB2">
          <w:pPr>
            <w:pStyle w:val="7"/>
            <w:tabs>
              <w:tab w:val="left" w:pos="420"/>
              <w:tab w:val="right" w:leader="dot" w:pos="8964"/>
            </w:tabs>
            <w:rPr>
              <w:rFonts w:ascii="宋体" w:hAnsi="宋体" w:eastAsia="宋体"/>
            </w:rPr>
          </w:pPr>
          <w:r>
            <w:fldChar w:fldCharType="begin"/>
          </w:r>
          <w:r>
            <w:instrText xml:space="preserve"> HYPERLINK \l "_Toc167487078" </w:instrText>
          </w:r>
          <w:r>
            <w:fldChar w:fldCharType="separate"/>
          </w:r>
          <w:r>
            <w:rPr>
              <w:rStyle w:val="14"/>
              <w:rFonts w:ascii="宋体" w:hAnsi="宋体" w:eastAsia="宋体"/>
              <w14:ligatures w14:val="none"/>
            </w:rPr>
            <w:t>3</w:t>
          </w:r>
          <w:r>
            <w:rPr>
              <w:rFonts w:ascii="宋体" w:hAnsi="宋体" w:eastAsia="宋体"/>
            </w:rPr>
            <w:tab/>
          </w:r>
          <w:r>
            <w:rPr>
              <w:rStyle w:val="14"/>
              <w:rFonts w:ascii="宋体" w:hAnsi="宋体" w:eastAsia="宋体"/>
              <w14:ligatures w14:val="none"/>
            </w:rPr>
            <w:t>术语和定义</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_Toc167487078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14:paraId="1C155FCB">
          <w:pPr>
            <w:pStyle w:val="8"/>
            <w:tabs>
              <w:tab w:val="right" w:leader="dot" w:pos="8964"/>
            </w:tabs>
            <w:rPr>
              <w:rFonts w:ascii="宋体" w:hAnsi="宋体" w:eastAsia="宋体"/>
            </w:rPr>
          </w:pPr>
          <w:r>
            <w:fldChar w:fldCharType="begin"/>
          </w:r>
          <w:r>
            <w:instrText xml:space="preserve"> HYPERLINK \l "_Toc167487079" </w:instrText>
          </w:r>
          <w:r>
            <w:fldChar w:fldCharType="separate"/>
          </w:r>
          <w:r>
            <w:rPr>
              <w:rStyle w:val="14"/>
              <w:rFonts w:ascii="宋体" w:hAnsi="宋体" w:eastAsia="宋体"/>
              <w14:ligatures w14:val="none"/>
            </w:rPr>
            <w:t>3.1 与建筑相关的术语</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_Toc167487079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14:paraId="7B08B972">
          <w:pPr>
            <w:pStyle w:val="8"/>
            <w:tabs>
              <w:tab w:val="left" w:pos="1050"/>
              <w:tab w:val="right" w:leader="dot" w:pos="8964"/>
            </w:tabs>
            <w:rPr>
              <w:rFonts w:ascii="宋体" w:hAnsi="宋体" w:eastAsia="宋体"/>
            </w:rPr>
          </w:pPr>
          <w:r>
            <w:fldChar w:fldCharType="begin"/>
          </w:r>
          <w:r>
            <w:instrText xml:space="preserve"> HYPERLINK \l "_Toc167487080" </w:instrText>
          </w:r>
          <w:r>
            <w:fldChar w:fldCharType="separate"/>
          </w:r>
          <w:r>
            <w:rPr>
              <w:rStyle w:val="14"/>
              <w:rFonts w:ascii="宋体" w:hAnsi="宋体" w:eastAsia="宋体"/>
              <w14:ligatures w14:val="none"/>
            </w:rPr>
            <w:t>3.2</w:t>
          </w:r>
          <w:r>
            <w:rPr>
              <w:rFonts w:ascii="宋体" w:hAnsi="宋体" w:eastAsia="宋体"/>
            </w:rPr>
            <w:tab/>
          </w:r>
          <w:r>
            <w:rPr>
              <w:rStyle w:val="14"/>
              <w:rFonts w:ascii="宋体" w:hAnsi="宋体" w:eastAsia="宋体"/>
              <w14:ligatures w14:val="none"/>
            </w:rPr>
            <w:t>与温室气体相关的术语</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_Toc167487080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14:paraId="18BF4E4A">
          <w:pPr>
            <w:pStyle w:val="8"/>
            <w:tabs>
              <w:tab w:val="left" w:pos="1050"/>
              <w:tab w:val="right" w:leader="dot" w:pos="8964"/>
            </w:tabs>
            <w:rPr>
              <w:rFonts w:ascii="宋体" w:hAnsi="宋体" w:eastAsia="宋体"/>
            </w:rPr>
          </w:pPr>
          <w:r>
            <w:fldChar w:fldCharType="begin"/>
          </w:r>
          <w:r>
            <w:instrText xml:space="preserve"> HYPERLINK \l "_Toc167487081" </w:instrText>
          </w:r>
          <w:r>
            <w:fldChar w:fldCharType="separate"/>
          </w:r>
          <w:r>
            <w:rPr>
              <w:rStyle w:val="14"/>
              <w:rFonts w:ascii="宋体" w:hAnsi="宋体" w:eastAsia="宋体"/>
              <w14:ligatures w14:val="none"/>
            </w:rPr>
            <w:t>3.3</w:t>
          </w:r>
          <w:r>
            <w:rPr>
              <w:rFonts w:ascii="宋体" w:hAnsi="宋体" w:eastAsia="宋体"/>
            </w:rPr>
            <w:tab/>
          </w:r>
          <w:r>
            <w:rPr>
              <w:rStyle w:val="14"/>
              <w:rFonts w:ascii="宋体" w:hAnsi="宋体" w:eastAsia="宋体"/>
              <w14:ligatures w14:val="none"/>
            </w:rPr>
            <w:t>与气候行动相关的术语</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_Toc167487081 \h </w:instrText>
          </w:r>
          <w:r>
            <w:rPr>
              <w:rFonts w:ascii="宋体" w:hAnsi="宋体" w:eastAsia="宋体"/>
            </w:rPr>
            <w:fldChar w:fldCharType="separate"/>
          </w:r>
          <w:r>
            <w:rPr>
              <w:rFonts w:ascii="宋体" w:hAnsi="宋体" w:eastAsia="宋体"/>
            </w:rPr>
            <w:t>7</w:t>
          </w:r>
          <w:r>
            <w:rPr>
              <w:rFonts w:ascii="宋体" w:hAnsi="宋体" w:eastAsia="宋体"/>
            </w:rPr>
            <w:fldChar w:fldCharType="end"/>
          </w:r>
          <w:r>
            <w:rPr>
              <w:rFonts w:ascii="宋体" w:hAnsi="宋体" w:eastAsia="宋体"/>
            </w:rPr>
            <w:fldChar w:fldCharType="end"/>
          </w:r>
        </w:p>
        <w:p w14:paraId="7E2B3ABB">
          <w:pPr>
            <w:pStyle w:val="7"/>
            <w:tabs>
              <w:tab w:val="left" w:pos="420"/>
              <w:tab w:val="right" w:leader="dot" w:pos="8964"/>
            </w:tabs>
            <w:rPr>
              <w:rFonts w:ascii="宋体" w:hAnsi="宋体" w:eastAsia="宋体"/>
            </w:rPr>
          </w:pPr>
          <w:r>
            <w:fldChar w:fldCharType="begin"/>
          </w:r>
          <w:r>
            <w:instrText xml:space="preserve"> HYPERLINK \l "_Toc167487082" </w:instrText>
          </w:r>
          <w:r>
            <w:fldChar w:fldCharType="separate"/>
          </w:r>
          <w:r>
            <w:rPr>
              <w:rStyle w:val="14"/>
              <w:rFonts w:ascii="宋体" w:hAnsi="宋体" w:eastAsia="宋体"/>
              <w14:ligatures w14:val="none"/>
            </w:rPr>
            <w:t>4</w:t>
          </w:r>
          <w:r>
            <w:rPr>
              <w:rFonts w:ascii="宋体" w:hAnsi="宋体" w:eastAsia="宋体"/>
            </w:rPr>
            <w:tab/>
          </w:r>
          <w:r>
            <w:rPr>
              <w:rStyle w:val="14"/>
              <w:rFonts w:ascii="宋体" w:hAnsi="宋体" w:eastAsia="宋体"/>
              <w14:ligatures w14:val="none"/>
            </w:rPr>
            <w:t>创建与实施</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_Toc167487082 \h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ascii="宋体" w:hAnsi="宋体" w:eastAsia="宋体"/>
            </w:rPr>
            <w:fldChar w:fldCharType="end"/>
          </w:r>
        </w:p>
        <w:p w14:paraId="5B790D92">
          <w:pPr>
            <w:pStyle w:val="8"/>
            <w:tabs>
              <w:tab w:val="right" w:leader="dot" w:pos="8964"/>
            </w:tabs>
            <w:rPr>
              <w:rFonts w:ascii="宋体" w:hAnsi="宋体" w:eastAsia="宋体"/>
            </w:rPr>
          </w:pPr>
          <w:r>
            <w:fldChar w:fldCharType="begin"/>
          </w:r>
          <w:r>
            <w:instrText xml:space="preserve"> HYPERLINK \l "_Toc167487083" </w:instrText>
          </w:r>
          <w:r>
            <w:fldChar w:fldCharType="separate"/>
          </w:r>
          <w:r>
            <w:rPr>
              <w:rStyle w:val="14"/>
              <w:rFonts w:ascii="宋体" w:hAnsi="宋体" w:eastAsia="宋体"/>
              <w14:ligatures w14:val="none"/>
            </w:rPr>
            <w:t>4.1创建流程</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_Toc167487083 \h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ascii="宋体" w:hAnsi="宋体" w:eastAsia="宋体"/>
            </w:rPr>
            <w:fldChar w:fldCharType="end"/>
          </w:r>
        </w:p>
        <w:p w14:paraId="4E0A7AC5">
          <w:pPr>
            <w:pStyle w:val="8"/>
            <w:tabs>
              <w:tab w:val="right" w:leader="dot" w:pos="8964"/>
            </w:tabs>
            <w:rPr>
              <w:rFonts w:ascii="宋体" w:hAnsi="宋体" w:eastAsia="宋体"/>
            </w:rPr>
          </w:pPr>
          <w:r>
            <w:fldChar w:fldCharType="begin"/>
          </w:r>
          <w:r>
            <w:instrText xml:space="preserve"> HYPERLINK \l "_Toc167487084" </w:instrText>
          </w:r>
          <w:r>
            <w:fldChar w:fldCharType="separate"/>
          </w:r>
          <w:r>
            <w:rPr>
              <w:rStyle w:val="14"/>
              <w:rFonts w:ascii="宋体" w:hAnsi="宋体" w:eastAsia="宋体"/>
              <w14:ligatures w14:val="none"/>
            </w:rPr>
            <w:t>4.2 基础体系</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_Toc167487084 \h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ascii="宋体" w:hAnsi="宋体" w:eastAsia="宋体"/>
            </w:rPr>
            <w:fldChar w:fldCharType="end"/>
          </w:r>
        </w:p>
        <w:p w14:paraId="0314C484">
          <w:pPr>
            <w:pStyle w:val="8"/>
            <w:tabs>
              <w:tab w:val="right" w:leader="dot" w:pos="8964"/>
            </w:tabs>
            <w:rPr>
              <w:rFonts w:ascii="宋体" w:hAnsi="宋体" w:eastAsia="宋体"/>
            </w:rPr>
          </w:pPr>
          <w:r>
            <w:fldChar w:fldCharType="begin"/>
          </w:r>
          <w:r>
            <w:instrText xml:space="preserve"> HYPERLINK \l "_Toc167487085" </w:instrText>
          </w:r>
          <w:r>
            <w:fldChar w:fldCharType="separate"/>
          </w:r>
          <w:r>
            <w:rPr>
              <w:rStyle w:val="14"/>
              <w:rFonts w:ascii="宋体" w:hAnsi="宋体" w:eastAsia="宋体"/>
              <w14:ligatures w14:val="none"/>
            </w:rPr>
            <w:t>4.3 净零行动</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_Toc167487085 \h </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ascii="宋体" w:hAnsi="宋体" w:eastAsia="宋体"/>
            </w:rPr>
            <w:fldChar w:fldCharType="end"/>
          </w:r>
        </w:p>
        <w:p w14:paraId="4EC3B379">
          <w:pPr>
            <w:pStyle w:val="7"/>
            <w:tabs>
              <w:tab w:val="left" w:pos="420"/>
              <w:tab w:val="right" w:leader="dot" w:pos="8964"/>
            </w:tabs>
            <w:rPr>
              <w:rFonts w:ascii="宋体" w:hAnsi="宋体" w:eastAsia="宋体"/>
            </w:rPr>
          </w:pPr>
          <w:r>
            <w:fldChar w:fldCharType="begin"/>
          </w:r>
          <w:r>
            <w:instrText xml:space="preserve"> HYPERLINK \l "_Toc167487086" </w:instrText>
          </w:r>
          <w:r>
            <w:fldChar w:fldCharType="separate"/>
          </w:r>
          <w:r>
            <w:rPr>
              <w:rStyle w:val="14"/>
              <w:rFonts w:ascii="宋体" w:hAnsi="宋体" w:eastAsia="宋体"/>
              <w14:ligatures w14:val="none"/>
            </w:rPr>
            <w:t>5</w:t>
          </w:r>
          <w:r>
            <w:rPr>
              <w:rFonts w:ascii="宋体" w:hAnsi="宋体" w:eastAsia="宋体"/>
            </w:rPr>
            <w:tab/>
          </w:r>
          <w:r>
            <w:rPr>
              <w:rStyle w:val="14"/>
              <w:rFonts w:ascii="宋体" w:hAnsi="宋体" w:eastAsia="宋体"/>
              <w14:ligatures w14:val="none"/>
            </w:rPr>
            <w:t>评价</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_Toc167487086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44C919A7">
          <w:pPr>
            <w:pStyle w:val="8"/>
            <w:tabs>
              <w:tab w:val="right" w:leader="dot" w:pos="8964"/>
            </w:tabs>
            <w:rPr>
              <w:rFonts w:ascii="宋体" w:hAnsi="宋体" w:eastAsia="宋体"/>
            </w:rPr>
          </w:pPr>
          <w:r>
            <w:fldChar w:fldCharType="begin"/>
          </w:r>
          <w:r>
            <w:instrText xml:space="preserve"> HYPERLINK \l "_Toc167487087" </w:instrText>
          </w:r>
          <w:r>
            <w:fldChar w:fldCharType="separate"/>
          </w:r>
          <w:r>
            <w:rPr>
              <w:rStyle w:val="14"/>
              <w:rFonts w:ascii="宋体" w:hAnsi="宋体" w:eastAsia="宋体"/>
              <w14:ligatures w14:val="none"/>
            </w:rPr>
            <w:t>5.1 基本要求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_Toc167487087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71E9ED56">
          <w:pPr>
            <w:pStyle w:val="8"/>
            <w:tabs>
              <w:tab w:val="right" w:leader="dot" w:pos="8964"/>
            </w:tabs>
            <w:rPr>
              <w:rFonts w:ascii="宋体" w:hAnsi="宋体" w:eastAsia="宋体"/>
            </w:rPr>
          </w:pPr>
          <w:r>
            <w:fldChar w:fldCharType="begin"/>
          </w:r>
          <w:r>
            <w:instrText xml:space="preserve"> HYPERLINK \l "_Toc167487088" </w:instrText>
          </w:r>
          <w:r>
            <w:fldChar w:fldCharType="separate"/>
          </w:r>
          <w:r>
            <w:rPr>
              <w:rStyle w:val="14"/>
              <w:rFonts w:ascii="宋体" w:hAnsi="宋体" w:eastAsia="宋体"/>
              <w14:ligatures w14:val="none"/>
            </w:rPr>
            <w:t>5.2 评价类别</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_Toc167487088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3642FBFF">
          <w:pPr>
            <w:pStyle w:val="8"/>
            <w:tabs>
              <w:tab w:val="left" w:pos="1050"/>
              <w:tab w:val="right" w:leader="dot" w:pos="8964"/>
            </w:tabs>
            <w:rPr>
              <w:rFonts w:ascii="宋体" w:hAnsi="宋体" w:eastAsia="宋体"/>
            </w:rPr>
          </w:pPr>
          <w:r>
            <w:fldChar w:fldCharType="begin"/>
          </w:r>
          <w:r>
            <w:instrText xml:space="preserve"> HYPERLINK \l "_Toc167487089" </w:instrText>
          </w:r>
          <w:r>
            <w:fldChar w:fldCharType="separate"/>
          </w:r>
          <w:r>
            <w:rPr>
              <w:rStyle w:val="14"/>
              <w:rFonts w:ascii="宋体" w:hAnsi="宋体" w:eastAsia="宋体"/>
              <w14:ligatures w14:val="none"/>
            </w:rPr>
            <w:t>5.3</w:t>
          </w:r>
          <w:r>
            <w:rPr>
              <w:rFonts w:ascii="宋体" w:hAnsi="宋体" w:eastAsia="宋体"/>
            </w:rPr>
            <w:tab/>
          </w:r>
          <w:r>
            <w:rPr>
              <w:rStyle w:val="14"/>
              <w:rFonts w:ascii="宋体" w:hAnsi="宋体" w:eastAsia="宋体"/>
              <w14:ligatures w14:val="none"/>
            </w:rPr>
            <w:t>净零目标</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_Toc167487089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42CA33F0">
          <w:pPr>
            <w:pStyle w:val="8"/>
            <w:tabs>
              <w:tab w:val="left" w:pos="1050"/>
              <w:tab w:val="right" w:leader="dot" w:pos="8964"/>
            </w:tabs>
            <w:rPr>
              <w:rFonts w:ascii="宋体" w:hAnsi="宋体" w:eastAsia="宋体"/>
            </w:rPr>
          </w:pPr>
          <w:r>
            <w:fldChar w:fldCharType="begin"/>
          </w:r>
          <w:r>
            <w:instrText xml:space="preserve"> HYPERLINK \l "_Toc167487090" </w:instrText>
          </w:r>
          <w:r>
            <w:fldChar w:fldCharType="separate"/>
          </w:r>
          <w:r>
            <w:rPr>
              <w:rStyle w:val="14"/>
              <w:rFonts w:ascii="宋体" w:hAnsi="宋体" w:eastAsia="宋体"/>
              <w14:ligatures w14:val="none"/>
            </w:rPr>
            <w:t>5.4</w:t>
          </w:r>
          <w:r>
            <w:rPr>
              <w:rFonts w:ascii="宋体" w:hAnsi="宋体" w:eastAsia="宋体"/>
            </w:rPr>
            <w:tab/>
          </w:r>
          <w:r>
            <w:rPr>
              <w:rStyle w:val="14"/>
              <w:rFonts w:ascii="宋体" w:hAnsi="宋体" w:eastAsia="宋体"/>
              <w14:ligatures w14:val="none"/>
            </w:rPr>
            <w:t>净零进程</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_Toc167487090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14:paraId="623750E8">
          <w:pPr>
            <w:pStyle w:val="8"/>
            <w:tabs>
              <w:tab w:val="left" w:pos="1050"/>
              <w:tab w:val="right" w:leader="dot" w:pos="8964"/>
            </w:tabs>
            <w:rPr>
              <w:rFonts w:ascii="宋体" w:hAnsi="宋体" w:eastAsia="宋体"/>
            </w:rPr>
          </w:pPr>
          <w:r>
            <w:fldChar w:fldCharType="begin"/>
          </w:r>
          <w:r>
            <w:instrText xml:space="preserve"> HYPERLINK \l "_Toc167487091" </w:instrText>
          </w:r>
          <w:r>
            <w:fldChar w:fldCharType="separate"/>
          </w:r>
          <w:r>
            <w:rPr>
              <w:rStyle w:val="14"/>
              <w:rFonts w:ascii="宋体" w:hAnsi="宋体" w:eastAsia="宋体"/>
              <w14:ligatures w14:val="none"/>
            </w:rPr>
            <w:t>5.5</w:t>
          </w:r>
          <w:r>
            <w:rPr>
              <w:rFonts w:ascii="宋体" w:hAnsi="宋体" w:eastAsia="宋体"/>
            </w:rPr>
            <w:tab/>
          </w:r>
          <w:r>
            <w:rPr>
              <w:rStyle w:val="14"/>
              <w:rFonts w:ascii="宋体" w:hAnsi="宋体" w:eastAsia="宋体"/>
              <w14:ligatures w14:val="none"/>
            </w:rPr>
            <w:t>净零运营</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_Toc167487091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14:paraId="7F27C27F">
          <w:pPr>
            <w:pStyle w:val="8"/>
            <w:tabs>
              <w:tab w:val="left" w:pos="1050"/>
              <w:tab w:val="right" w:leader="dot" w:pos="8964"/>
            </w:tabs>
            <w:rPr>
              <w:rFonts w:ascii="宋体" w:hAnsi="宋体" w:eastAsia="宋体"/>
            </w:rPr>
          </w:pPr>
          <w:r>
            <w:fldChar w:fldCharType="begin"/>
          </w:r>
          <w:r>
            <w:instrText xml:space="preserve"> HYPERLINK \l "_Toc167487092" </w:instrText>
          </w:r>
          <w:r>
            <w:fldChar w:fldCharType="separate"/>
          </w:r>
          <w:r>
            <w:rPr>
              <w:rStyle w:val="14"/>
              <w:rFonts w:ascii="宋体" w:hAnsi="宋体" w:eastAsia="宋体"/>
              <w14:ligatures w14:val="none"/>
            </w:rPr>
            <w:t>5.6</w:t>
          </w:r>
          <w:r>
            <w:rPr>
              <w:rFonts w:ascii="宋体" w:hAnsi="宋体" w:eastAsia="宋体"/>
            </w:rPr>
            <w:tab/>
          </w:r>
          <w:r>
            <w:rPr>
              <w:rStyle w:val="14"/>
              <w:rFonts w:ascii="宋体" w:hAnsi="宋体" w:eastAsia="宋体"/>
              <w14:ligatures w14:val="none"/>
            </w:rPr>
            <w:t>净零就绪</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_Toc167487092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14:paraId="335D89C2">
          <w:pPr>
            <w:pStyle w:val="8"/>
            <w:tabs>
              <w:tab w:val="left" w:pos="1050"/>
              <w:tab w:val="right" w:leader="dot" w:pos="8964"/>
            </w:tabs>
            <w:rPr>
              <w:rFonts w:ascii="宋体" w:hAnsi="宋体" w:eastAsia="宋体"/>
            </w:rPr>
          </w:pPr>
          <w:r>
            <w:fldChar w:fldCharType="begin"/>
          </w:r>
          <w:r>
            <w:instrText xml:space="preserve"> HYPERLINK \l "_Toc167487093" </w:instrText>
          </w:r>
          <w:r>
            <w:fldChar w:fldCharType="separate"/>
          </w:r>
          <w:r>
            <w:rPr>
              <w:rStyle w:val="14"/>
              <w:rFonts w:ascii="宋体" w:hAnsi="宋体" w:eastAsia="宋体"/>
              <w14:ligatures w14:val="none"/>
            </w:rPr>
            <w:t>5.7</w:t>
          </w:r>
          <w:r>
            <w:rPr>
              <w:rFonts w:ascii="宋体" w:hAnsi="宋体" w:eastAsia="宋体"/>
            </w:rPr>
            <w:tab/>
          </w:r>
          <w:r>
            <w:rPr>
              <w:rStyle w:val="14"/>
              <w:rFonts w:ascii="宋体" w:hAnsi="宋体" w:eastAsia="宋体"/>
              <w14:ligatures w14:val="none"/>
            </w:rPr>
            <w:t>净零达成</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_Toc167487093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14:paraId="267AA8A0">
          <w:pPr>
            <w:pStyle w:val="8"/>
            <w:tabs>
              <w:tab w:val="left" w:pos="1050"/>
              <w:tab w:val="right" w:leader="dot" w:pos="8964"/>
            </w:tabs>
            <w:rPr>
              <w:rFonts w:ascii="宋体" w:hAnsi="宋体" w:eastAsia="宋体"/>
            </w:rPr>
          </w:pPr>
          <w:r>
            <w:fldChar w:fldCharType="begin"/>
          </w:r>
          <w:r>
            <w:instrText xml:space="preserve"> HYPERLINK \l "_Toc167487094" </w:instrText>
          </w:r>
          <w:r>
            <w:fldChar w:fldCharType="separate"/>
          </w:r>
          <w:r>
            <w:rPr>
              <w:rStyle w:val="14"/>
              <w:rFonts w:ascii="宋体" w:hAnsi="宋体" w:eastAsia="宋体"/>
              <w14:ligatures w14:val="none"/>
            </w:rPr>
            <w:t>5.8</w:t>
          </w:r>
          <w:r>
            <w:rPr>
              <w:rFonts w:ascii="宋体" w:hAnsi="宋体" w:eastAsia="宋体"/>
            </w:rPr>
            <w:tab/>
          </w:r>
          <w:r>
            <w:rPr>
              <w:rStyle w:val="14"/>
              <w:rFonts w:ascii="宋体" w:hAnsi="宋体" w:eastAsia="宋体"/>
              <w14:ligatures w14:val="none"/>
            </w:rPr>
            <w:t>碳中和建筑</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_Toc167487094 \h </w:instrText>
          </w:r>
          <w:r>
            <w:rPr>
              <w:rFonts w:ascii="宋体" w:hAnsi="宋体" w:eastAsia="宋体"/>
            </w:rPr>
            <w:fldChar w:fldCharType="separate"/>
          </w:r>
          <w:r>
            <w:rPr>
              <w:rFonts w:ascii="宋体" w:hAnsi="宋体" w:eastAsia="宋体"/>
            </w:rPr>
            <w:t>15</w:t>
          </w:r>
          <w:r>
            <w:rPr>
              <w:rFonts w:ascii="宋体" w:hAnsi="宋体" w:eastAsia="宋体"/>
            </w:rPr>
            <w:fldChar w:fldCharType="end"/>
          </w:r>
          <w:r>
            <w:rPr>
              <w:rFonts w:ascii="宋体" w:hAnsi="宋体" w:eastAsia="宋体"/>
            </w:rPr>
            <w:fldChar w:fldCharType="end"/>
          </w:r>
        </w:p>
        <w:p w14:paraId="4AA3D119">
          <w:pPr>
            <w:pStyle w:val="7"/>
            <w:tabs>
              <w:tab w:val="left" w:pos="420"/>
              <w:tab w:val="right" w:leader="dot" w:pos="8964"/>
            </w:tabs>
            <w:rPr>
              <w:rFonts w:ascii="宋体" w:hAnsi="宋体" w:eastAsia="宋体"/>
            </w:rPr>
          </w:pPr>
          <w:r>
            <w:fldChar w:fldCharType="begin"/>
          </w:r>
          <w:r>
            <w:instrText xml:space="preserve"> HYPERLINK \l "_Toc167487095" </w:instrText>
          </w:r>
          <w:r>
            <w:fldChar w:fldCharType="separate"/>
          </w:r>
          <w:r>
            <w:rPr>
              <w:rStyle w:val="14"/>
              <w:rFonts w:ascii="宋体" w:hAnsi="宋体" w:eastAsia="宋体"/>
              <w14:ligatures w14:val="none"/>
            </w:rPr>
            <w:t>6</w:t>
          </w:r>
          <w:r>
            <w:rPr>
              <w:rFonts w:ascii="宋体" w:hAnsi="宋体" w:eastAsia="宋体"/>
            </w:rPr>
            <w:tab/>
          </w:r>
          <w:r>
            <w:rPr>
              <w:rStyle w:val="14"/>
              <w:rFonts w:ascii="宋体" w:hAnsi="宋体" w:eastAsia="宋体"/>
              <w14:ligatures w14:val="none"/>
            </w:rPr>
            <w:t>评价工作</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_Toc167487095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09999729">
          <w:pPr>
            <w:pStyle w:val="8"/>
            <w:tabs>
              <w:tab w:val="right" w:leader="dot" w:pos="8964"/>
            </w:tabs>
            <w:rPr>
              <w:rFonts w:ascii="宋体" w:hAnsi="宋体" w:eastAsia="宋体"/>
            </w:rPr>
          </w:pPr>
          <w:r>
            <w:fldChar w:fldCharType="begin"/>
          </w:r>
          <w:r>
            <w:instrText xml:space="preserve"> HYPERLINK \l "_Toc167487096" </w:instrText>
          </w:r>
          <w:r>
            <w:fldChar w:fldCharType="separate"/>
          </w:r>
          <w:r>
            <w:rPr>
              <w:rStyle w:val="14"/>
              <w:rFonts w:ascii="宋体" w:hAnsi="宋体" w:eastAsia="宋体"/>
              <w14:ligatures w14:val="none"/>
            </w:rPr>
            <w:t>6.1基本要求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_Toc167487096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6448A2A9">
          <w:pPr>
            <w:pStyle w:val="8"/>
            <w:tabs>
              <w:tab w:val="right" w:leader="dot" w:pos="8964"/>
            </w:tabs>
            <w:rPr>
              <w:rFonts w:ascii="宋体" w:hAnsi="宋体" w:eastAsia="宋体"/>
            </w:rPr>
          </w:pPr>
          <w:r>
            <w:fldChar w:fldCharType="begin"/>
          </w:r>
          <w:r>
            <w:instrText xml:space="preserve"> HYPERLINK \l "_Toc167487097" </w:instrText>
          </w:r>
          <w:r>
            <w:fldChar w:fldCharType="separate"/>
          </w:r>
          <w:r>
            <w:rPr>
              <w:rStyle w:val="14"/>
              <w:rFonts w:ascii="宋体" w:hAnsi="宋体" w:eastAsia="宋体"/>
              <w14:ligatures w14:val="none"/>
            </w:rPr>
            <w:t>6.2 评价工作流程</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_Toc167487097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51951206">
          <w:pPr>
            <w:pStyle w:val="8"/>
            <w:tabs>
              <w:tab w:val="right" w:leader="dot" w:pos="8964"/>
            </w:tabs>
            <w:rPr>
              <w:rFonts w:ascii="宋体" w:hAnsi="宋体" w:eastAsia="宋体"/>
            </w:rPr>
          </w:pPr>
          <w:r>
            <w:fldChar w:fldCharType="begin"/>
          </w:r>
          <w:r>
            <w:instrText xml:space="preserve"> HYPERLINK \l "_Toc167487098" </w:instrText>
          </w:r>
          <w:r>
            <w:fldChar w:fldCharType="separate"/>
          </w:r>
          <w:r>
            <w:rPr>
              <w:rStyle w:val="14"/>
              <w:rFonts w:ascii="宋体" w:hAnsi="宋体" w:eastAsia="宋体"/>
              <w14:ligatures w14:val="none"/>
            </w:rPr>
            <w:t>6.3 评价结果信息应用及公开</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_Toc167487098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14:paraId="5EE147D8">
          <w:pPr>
            <w:pStyle w:val="4"/>
            <w:tabs>
              <w:tab w:val="right" w:leader="dot" w:pos="8964"/>
            </w:tabs>
            <w:rPr>
              <w:rFonts w:ascii="宋体" w:hAnsi="宋体" w:eastAsia="宋体"/>
            </w:rPr>
          </w:pPr>
          <w:r>
            <w:fldChar w:fldCharType="begin"/>
          </w:r>
          <w:r>
            <w:instrText xml:space="preserve"> HYPERLINK \l "_Toc167487099" </w:instrText>
          </w:r>
          <w:r>
            <w:fldChar w:fldCharType="separate"/>
          </w:r>
          <w:r>
            <w:rPr>
              <w:rStyle w:val="14"/>
              <w:rFonts w:ascii="宋体" w:hAnsi="宋体" w:eastAsia="宋体"/>
              <w:shd w:val="clear" w:color="auto" w:fill="FFFFFF"/>
            </w:rPr>
            <w:t>附 录 A</w:t>
          </w:r>
          <w:r>
            <w:rPr>
              <w:rFonts w:ascii="宋体" w:hAnsi="宋体" w:eastAsia="宋体"/>
            </w:rPr>
            <w:tab/>
          </w:r>
          <w:r>
            <w:rPr>
              <w:rFonts w:ascii="宋体" w:hAnsi="宋体" w:eastAsia="宋体"/>
            </w:rPr>
            <w:fldChar w:fldCharType="begin"/>
          </w:r>
          <w:r>
            <w:rPr>
              <w:rFonts w:ascii="宋体" w:hAnsi="宋体" w:eastAsia="宋体"/>
            </w:rPr>
            <w:instrText xml:space="preserve"> PAGEREF _Toc167487099 \h </w:instrText>
          </w:r>
          <w:r>
            <w:rPr>
              <w:rFonts w:ascii="宋体" w:hAnsi="宋体" w:eastAsia="宋体"/>
            </w:rPr>
            <w:fldChar w:fldCharType="separate"/>
          </w:r>
          <w:r>
            <w:rPr>
              <w:rFonts w:ascii="宋体" w:hAnsi="宋体" w:eastAsia="宋体"/>
            </w:rPr>
            <w:t>17</w:t>
          </w:r>
          <w:r>
            <w:rPr>
              <w:rFonts w:ascii="宋体" w:hAnsi="宋体" w:eastAsia="宋体"/>
            </w:rPr>
            <w:fldChar w:fldCharType="end"/>
          </w:r>
          <w:r>
            <w:rPr>
              <w:rFonts w:ascii="宋体" w:hAnsi="宋体" w:eastAsia="宋体"/>
            </w:rPr>
            <w:fldChar w:fldCharType="end"/>
          </w:r>
        </w:p>
        <w:p w14:paraId="038E173E">
          <w:pPr>
            <w:pStyle w:val="4"/>
            <w:tabs>
              <w:tab w:val="right" w:leader="dot" w:pos="8964"/>
            </w:tabs>
            <w:rPr>
              <w:rFonts w:ascii="宋体" w:hAnsi="宋体" w:eastAsia="宋体"/>
            </w:rPr>
          </w:pPr>
          <w:r>
            <w:fldChar w:fldCharType="begin"/>
          </w:r>
          <w:r>
            <w:instrText xml:space="preserve"> HYPERLINK \l "_Toc167487100" </w:instrText>
          </w:r>
          <w:r>
            <w:fldChar w:fldCharType="separate"/>
          </w:r>
          <w:r>
            <w:rPr>
              <w:rStyle w:val="14"/>
              <w:rFonts w:ascii="宋体" w:hAnsi="宋体" w:eastAsia="宋体" w:cs="Arial"/>
            </w:rPr>
            <w:t>附录C</w:t>
          </w:r>
          <w:r>
            <w:rPr>
              <w:rFonts w:ascii="宋体" w:hAnsi="宋体" w:eastAsia="宋体"/>
            </w:rPr>
            <w:tab/>
          </w:r>
          <w:r>
            <w:rPr>
              <w:rFonts w:ascii="宋体" w:hAnsi="宋体" w:eastAsia="宋体"/>
            </w:rPr>
            <w:fldChar w:fldCharType="begin"/>
          </w:r>
          <w:r>
            <w:rPr>
              <w:rFonts w:ascii="宋体" w:hAnsi="宋体" w:eastAsia="宋体"/>
            </w:rPr>
            <w:instrText xml:space="preserve"> PAGEREF _Toc167487100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14:paraId="7D1E5CF8">
          <w:pPr>
            <w:pStyle w:val="4"/>
            <w:tabs>
              <w:tab w:val="right" w:leader="dot" w:pos="8964"/>
            </w:tabs>
            <w:rPr>
              <w:rFonts w:ascii="宋体" w:hAnsi="宋体" w:eastAsia="宋体"/>
            </w:rPr>
          </w:pPr>
          <w:r>
            <w:fldChar w:fldCharType="begin"/>
          </w:r>
          <w:r>
            <w:instrText xml:space="preserve"> HYPERLINK \l "_Toc167487101" </w:instrText>
          </w:r>
          <w:r>
            <w:fldChar w:fldCharType="separate"/>
          </w:r>
          <w:r>
            <w:rPr>
              <w:rStyle w:val="14"/>
              <w:rFonts w:ascii="宋体" w:hAnsi="宋体" w:eastAsia="宋体" w:cs="Arial"/>
            </w:rPr>
            <w:t>附录D</w:t>
          </w:r>
          <w:r>
            <w:rPr>
              <w:rFonts w:ascii="宋体" w:hAnsi="宋体" w:eastAsia="宋体"/>
            </w:rPr>
            <w:tab/>
          </w:r>
          <w:r>
            <w:rPr>
              <w:rFonts w:ascii="宋体" w:hAnsi="宋体" w:eastAsia="宋体"/>
            </w:rPr>
            <w:fldChar w:fldCharType="begin"/>
          </w:r>
          <w:r>
            <w:rPr>
              <w:rFonts w:ascii="宋体" w:hAnsi="宋体" w:eastAsia="宋体"/>
            </w:rPr>
            <w:instrText xml:space="preserve"> PAGEREF _Toc167487101 \h </w:instrText>
          </w:r>
          <w:r>
            <w:rPr>
              <w:rFonts w:ascii="宋体" w:hAnsi="宋体" w:eastAsia="宋体"/>
            </w:rPr>
            <w:fldChar w:fldCharType="separate"/>
          </w:r>
          <w:r>
            <w:rPr>
              <w:rFonts w:ascii="宋体" w:hAnsi="宋体" w:eastAsia="宋体"/>
            </w:rPr>
            <w:t>20</w:t>
          </w:r>
          <w:r>
            <w:rPr>
              <w:rFonts w:ascii="宋体" w:hAnsi="宋体" w:eastAsia="宋体"/>
            </w:rPr>
            <w:fldChar w:fldCharType="end"/>
          </w:r>
          <w:r>
            <w:rPr>
              <w:rFonts w:ascii="宋体" w:hAnsi="宋体" w:eastAsia="宋体"/>
            </w:rPr>
            <w:fldChar w:fldCharType="end"/>
          </w:r>
        </w:p>
        <w:p w14:paraId="10E17FD2">
          <w:pPr>
            <w:pStyle w:val="4"/>
            <w:tabs>
              <w:tab w:val="right" w:leader="dot" w:pos="8964"/>
            </w:tabs>
            <w:rPr>
              <w:rFonts w:ascii="宋体" w:hAnsi="宋体" w:eastAsia="宋体"/>
            </w:rPr>
          </w:pPr>
          <w:r>
            <w:fldChar w:fldCharType="begin"/>
          </w:r>
          <w:r>
            <w:instrText xml:space="preserve"> HYPERLINK \l "_Toc167487102" </w:instrText>
          </w:r>
          <w:r>
            <w:fldChar w:fldCharType="separate"/>
          </w:r>
          <w:r>
            <w:rPr>
              <w:rStyle w:val="14"/>
              <w:rFonts w:ascii="宋体" w:hAnsi="宋体" w:eastAsia="宋体" w:cs="Arial"/>
            </w:rPr>
            <w:t>附件E</w:t>
          </w:r>
          <w:r>
            <w:rPr>
              <w:rFonts w:ascii="宋体" w:hAnsi="宋体" w:eastAsia="宋体"/>
            </w:rPr>
            <w:tab/>
          </w:r>
          <w:r>
            <w:rPr>
              <w:rFonts w:ascii="宋体" w:hAnsi="宋体" w:eastAsia="宋体"/>
            </w:rPr>
            <w:fldChar w:fldCharType="begin"/>
          </w:r>
          <w:r>
            <w:rPr>
              <w:rFonts w:ascii="宋体" w:hAnsi="宋体" w:eastAsia="宋体"/>
            </w:rPr>
            <w:instrText xml:space="preserve"> PAGEREF _Toc167487102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14:paraId="35F15A28">
          <w:pPr>
            <w:pStyle w:val="4"/>
            <w:tabs>
              <w:tab w:val="right" w:leader="dot" w:pos="8964"/>
            </w:tabs>
            <w:rPr>
              <w:rFonts w:ascii="宋体" w:hAnsi="宋体" w:eastAsia="宋体"/>
            </w:rPr>
          </w:pPr>
          <w:r>
            <w:fldChar w:fldCharType="begin"/>
          </w:r>
          <w:r>
            <w:instrText xml:space="preserve"> HYPERLINK \l "_Toc167487103" </w:instrText>
          </w:r>
          <w:r>
            <w:fldChar w:fldCharType="separate"/>
          </w:r>
          <w:r>
            <w:rPr>
              <w:rStyle w:val="14"/>
              <w:rFonts w:ascii="宋体" w:hAnsi="宋体" w:eastAsia="宋体" w:cs="Arial"/>
            </w:rPr>
            <w:t>附件F</w:t>
          </w:r>
          <w:r>
            <w:rPr>
              <w:rFonts w:ascii="宋体" w:hAnsi="宋体" w:eastAsia="宋体"/>
            </w:rPr>
            <w:tab/>
          </w:r>
          <w:r>
            <w:rPr>
              <w:rFonts w:ascii="宋体" w:hAnsi="宋体" w:eastAsia="宋体"/>
            </w:rPr>
            <w:fldChar w:fldCharType="begin"/>
          </w:r>
          <w:r>
            <w:rPr>
              <w:rFonts w:ascii="宋体" w:hAnsi="宋体" w:eastAsia="宋体"/>
            </w:rPr>
            <w:instrText xml:space="preserve"> PAGEREF _Toc167487103 \h </w:instrText>
          </w:r>
          <w:r>
            <w:rPr>
              <w:rFonts w:ascii="宋体" w:hAnsi="宋体" w:eastAsia="宋体"/>
            </w:rPr>
            <w:fldChar w:fldCharType="separate"/>
          </w:r>
          <w:r>
            <w:rPr>
              <w:rFonts w:ascii="宋体" w:hAnsi="宋体" w:eastAsia="宋体"/>
            </w:rPr>
            <w:t>22</w:t>
          </w:r>
          <w:r>
            <w:rPr>
              <w:rFonts w:ascii="宋体" w:hAnsi="宋体" w:eastAsia="宋体"/>
            </w:rPr>
            <w:fldChar w:fldCharType="end"/>
          </w:r>
          <w:r>
            <w:rPr>
              <w:rFonts w:ascii="宋体" w:hAnsi="宋体" w:eastAsia="宋体"/>
            </w:rPr>
            <w:fldChar w:fldCharType="end"/>
          </w:r>
        </w:p>
        <w:p w14:paraId="071C7339">
          <w:pPr>
            <w:pStyle w:val="8"/>
            <w:tabs>
              <w:tab w:val="right" w:leader="dot" w:pos="8964"/>
            </w:tabs>
          </w:pPr>
          <w:r>
            <w:fldChar w:fldCharType="begin"/>
          </w:r>
          <w:r>
            <w:instrText xml:space="preserve"> HYPERLINK \l "_Toc167487104" </w:instrText>
          </w:r>
          <w:r>
            <w:fldChar w:fldCharType="separate"/>
          </w:r>
          <w:r>
            <w:rPr>
              <w:rStyle w:val="14"/>
              <w:rFonts w:ascii="宋体" w:hAnsi="宋体" w:eastAsia="宋体" w:cs="Arial"/>
            </w:rPr>
            <w:t>参考文献</w:t>
          </w:r>
          <w:r>
            <w:rPr>
              <w:rFonts w:ascii="宋体" w:hAnsi="宋体" w:eastAsia="宋体"/>
            </w:rPr>
            <w:tab/>
          </w:r>
          <w:r>
            <w:rPr>
              <w:rFonts w:ascii="宋体" w:hAnsi="宋体" w:eastAsia="宋体"/>
            </w:rPr>
            <w:fldChar w:fldCharType="begin"/>
          </w:r>
          <w:r>
            <w:rPr>
              <w:rFonts w:ascii="宋体" w:hAnsi="宋体" w:eastAsia="宋体"/>
            </w:rPr>
            <w:instrText xml:space="preserve"> PAGEREF _Toc167487104 \h </w:instrText>
          </w:r>
          <w:r>
            <w:rPr>
              <w:rFonts w:ascii="宋体" w:hAnsi="宋体" w:eastAsia="宋体"/>
            </w:rPr>
            <w:fldChar w:fldCharType="separate"/>
          </w:r>
          <w:r>
            <w:rPr>
              <w:rFonts w:ascii="宋体" w:hAnsi="宋体" w:eastAsia="宋体"/>
            </w:rPr>
            <w:t>23</w:t>
          </w:r>
          <w:r>
            <w:rPr>
              <w:rFonts w:ascii="宋体" w:hAnsi="宋体" w:eastAsia="宋体"/>
            </w:rPr>
            <w:fldChar w:fldCharType="end"/>
          </w:r>
          <w:r>
            <w:rPr>
              <w:rFonts w:ascii="宋体" w:hAnsi="宋体" w:eastAsia="宋体"/>
            </w:rPr>
            <w:fldChar w:fldCharType="end"/>
          </w:r>
        </w:p>
        <w:p w14:paraId="7C823919">
          <w:r>
            <w:rPr>
              <w:lang w:val="zh-CN"/>
            </w:rPr>
            <w:fldChar w:fldCharType="end"/>
          </w:r>
        </w:p>
      </w:sdtContent>
    </w:sdt>
    <w:p w14:paraId="73C4B2F0">
      <w:pPr>
        <w:spacing w:before="240" w:after="240"/>
        <w:rPr>
          <w:rFonts w:ascii="黑体" w:hAnsi="黑体" w:eastAsia="黑体"/>
          <w:b/>
          <w:sz w:val="32"/>
          <w:szCs w:val="32"/>
        </w:rPr>
      </w:pPr>
    </w:p>
    <w:p w14:paraId="423E829C">
      <w:pPr>
        <w:widowControl/>
        <w:jc w:val="left"/>
      </w:pPr>
      <w:r>
        <w:br w:type="page"/>
      </w:r>
    </w:p>
    <w:p w14:paraId="54778141">
      <w:pPr>
        <w:spacing w:before="240" w:after="240"/>
        <w:jc w:val="center"/>
        <w:rPr>
          <w:rFonts w:ascii="黑体" w:hAnsi="黑体" w:eastAsia="黑体"/>
          <w:sz w:val="32"/>
          <w:szCs w:val="32"/>
        </w:rPr>
      </w:pPr>
      <w:bookmarkStart w:id="3" w:name="_Toc166611356"/>
      <w:bookmarkStart w:id="4" w:name="heading_2"/>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bookmarkEnd w:id="3"/>
    </w:p>
    <w:p w14:paraId="23509536">
      <w:pPr>
        <w:ind w:firstLine="420"/>
        <w:rPr>
          <w:rFonts w:ascii="宋体" w:hAnsi="宋体" w:eastAsia="宋体"/>
        </w:rPr>
      </w:pPr>
      <w:r>
        <w:rPr>
          <w:rFonts w:hint="eastAsia" w:ascii="宋体" w:hAnsi="宋体" w:eastAsia="宋体"/>
        </w:rPr>
        <w:t>本文件按照</w:t>
      </w:r>
      <w:r>
        <w:rPr>
          <w:rFonts w:ascii="宋体" w:hAnsi="宋体" w:eastAsia="宋体"/>
        </w:rPr>
        <w:t>GB/T 1.1-2020</w:t>
      </w:r>
      <w:r>
        <w:rPr>
          <w:rFonts w:hint="eastAsia" w:ascii="宋体" w:hAnsi="宋体" w:eastAsia="宋体"/>
        </w:rPr>
        <w:t>《标准化工作导则</w:t>
      </w:r>
      <w:r>
        <w:rPr>
          <w:rFonts w:ascii="宋体" w:hAnsi="宋体" w:eastAsia="宋体"/>
        </w:rPr>
        <w:t xml:space="preserve"> </w:t>
      </w:r>
      <w:r>
        <w:rPr>
          <w:rFonts w:hint="eastAsia" w:ascii="宋体" w:hAnsi="宋体" w:eastAsia="宋体"/>
        </w:rPr>
        <w:t>第</w:t>
      </w:r>
      <w:r>
        <w:rPr>
          <w:rFonts w:ascii="宋体" w:hAnsi="宋体" w:eastAsia="宋体"/>
        </w:rPr>
        <w:t>1</w:t>
      </w:r>
      <w:r>
        <w:rPr>
          <w:rFonts w:hint="eastAsia" w:ascii="宋体" w:hAnsi="宋体" w:eastAsia="宋体"/>
        </w:rPr>
        <w:t>部分：标准化文件的结构和起草规则》的规定起草。</w:t>
      </w:r>
    </w:p>
    <w:p w14:paraId="6578F8AE">
      <w:pPr>
        <w:ind w:firstLine="420"/>
        <w:rPr>
          <w:rFonts w:ascii="宋体" w:hAnsi="宋体" w:eastAsia="宋体"/>
        </w:rPr>
      </w:pPr>
      <w:r>
        <w:rPr>
          <w:rFonts w:hint="eastAsia" w:ascii="宋体" w:hAnsi="宋体" w:eastAsia="宋体"/>
        </w:rPr>
        <w:t>请注意本文件的某些内容可能涉及专利。本文件的发布机构不承担识别专利的责任。</w:t>
      </w:r>
    </w:p>
    <w:p w14:paraId="6CE910A9">
      <w:pPr>
        <w:ind w:firstLine="420"/>
        <w:rPr>
          <w:rFonts w:ascii="宋体" w:hAnsi="宋体" w:eastAsia="宋体"/>
        </w:rPr>
      </w:pPr>
      <w:r>
        <w:rPr>
          <w:rFonts w:hint="eastAsia" w:ascii="宋体" w:hAnsi="宋体" w:eastAsia="宋体" w:cs="宋体"/>
        </w:rPr>
        <w:t>本文件由__________________提出并归口。</w:t>
      </w:r>
    </w:p>
    <w:p w14:paraId="44312159">
      <w:pPr>
        <w:ind w:firstLine="420"/>
        <w:rPr>
          <w:rFonts w:ascii="宋体" w:hAnsi="宋体" w:eastAsia="宋体"/>
        </w:rPr>
      </w:pPr>
      <w:r>
        <w:rPr>
          <w:rFonts w:hint="eastAsia" w:ascii="宋体" w:hAnsi="宋体" w:eastAsia="宋体"/>
        </w:rPr>
        <w:t>本文件起草单位：</w:t>
      </w:r>
      <w:r>
        <w:rPr>
          <w:rFonts w:ascii="宋体" w:hAnsi="宋体" w:eastAsia="宋体"/>
        </w:rPr>
        <w:t xml:space="preserve"> </w:t>
      </w:r>
    </w:p>
    <w:p w14:paraId="2BD93A36">
      <w:pPr>
        <w:ind w:firstLine="420"/>
        <w:rPr>
          <w:rFonts w:ascii="宋体" w:hAnsi="宋体" w:eastAsia="宋体"/>
        </w:rPr>
      </w:pPr>
      <w:r>
        <w:rPr>
          <w:rFonts w:hint="eastAsia" w:ascii="宋体" w:hAnsi="宋体" w:eastAsia="宋体"/>
        </w:rPr>
        <w:t>本文件主要起草人：</w:t>
      </w:r>
      <w:r>
        <w:rPr>
          <w:rFonts w:ascii="宋体" w:hAnsi="宋体" w:eastAsia="宋体"/>
        </w:rPr>
        <w:t xml:space="preserve"> </w:t>
      </w:r>
    </w:p>
    <w:p w14:paraId="43C76B98">
      <w:pPr>
        <w:widowControl/>
        <w:jc w:val="left"/>
        <w:rPr>
          <w:rFonts w:ascii="Arial" w:hAnsi="Arial" w:eastAsia="等线" w:cs="Arial"/>
          <w:color w:val="3370FF"/>
          <w:sz w:val="32"/>
        </w:rPr>
      </w:pPr>
      <w:r>
        <w:rPr>
          <w:rFonts w:ascii="Arial" w:hAnsi="Arial" w:eastAsia="等线" w:cs="Arial"/>
          <w:color w:val="3370FF"/>
          <w:sz w:val="32"/>
        </w:rPr>
        <w:br w:type="page"/>
      </w:r>
    </w:p>
    <w:p w14:paraId="7542D1DE">
      <w:pPr>
        <w:widowControl/>
        <w:spacing w:before="567" w:after="680"/>
        <w:jc w:val="center"/>
        <w:rPr>
          <w:rFonts w:ascii="黑体" w:hAnsi="黑体" w:eastAsia="黑体" w:cs="Times New Roman"/>
          <w:bCs/>
          <w:sz w:val="32"/>
          <w:szCs w:val="32"/>
          <w14:ligatures w14:val="none"/>
        </w:rPr>
      </w:pPr>
      <w:r>
        <w:rPr>
          <w:rFonts w:hint="eastAsia" w:ascii="黑体" w:hAnsi="黑体" w:eastAsia="黑体" w:cs="Times New Roman"/>
          <w:bCs/>
          <w:sz w:val="32"/>
          <w:szCs w:val="32"/>
          <w14:ligatures w14:val="none"/>
        </w:rPr>
        <w:t>净零商业办公建筑创建与</w:t>
      </w:r>
      <w:r>
        <w:rPr>
          <w:rFonts w:ascii="黑体" w:hAnsi="黑体" w:eastAsia="黑体" w:cs="Times New Roman"/>
          <w:bCs/>
          <w:sz w:val="32"/>
          <w:szCs w:val="32"/>
          <w14:ligatures w14:val="none"/>
        </w:rPr>
        <w:t>评价</w:t>
      </w:r>
      <w:r>
        <w:rPr>
          <w:rFonts w:hint="eastAsia" w:ascii="黑体" w:hAnsi="黑体" w:eastAsia="黑体" w:cs="Times New Roman"/>
          <w:bCs/>
          <w:sz w:val="32"/>
          <w:szCs w:val="32"/>
          <w14:ligatures w14:val="none"/>
        </w:rPr>
        <w:t>规范</w:t>
      </w:r>
    </w:p>
    <w:p w14:paraId="73B106A1">
      <w:pPr>
        <w:pStyle w:val="2"/>
        <w:numPr>
          <w:ilvl w:val="0"/>
          <w:numId w:val="1"/>
        </w:numPr>
        <w:spacing w:before="240" w:after="240" w:afterLines="100" w:line="240" w:lineRule="auto"/>
        <w:rPr>
          <w:rFonts w:ascii="黑体" w:hAnsi="黑体" w:eastAsia="黑体"/>
          <w:b w:val="0"/>
          <w:sz w:val="21"/>
          <w:szCs w:val="21"/>
          <w14:ligatures w14:val="none"/>
        </w:rPr>
      </w:pPr>
      <w:bookmarkStart w:id="5" w:name="_Toc167487076"/>
      <w:r>
        <w:rPr>
          <w:rFonts w:ascii="黑体" w:hAnsi="黑体" w:eastAsia="黑体"/>
          <w:b w:val="0"/>
          <w:sz w:val="21"/>
          <w:szCs w:val="21"/>
          <w14:ligatures w14:val="none"/>
        </w:rPr>
        <w:t>范围</w:t>
      </w:r>
      <w:bookmarkEnd w:id="4"/>
      <w:bookmarkEnd w:id="5"/>
    </w:p>
    <w:p w14:paraId="695836A3">
      <w:pPr>
        <w:spacing w:before="120" w:after="120" w:line="288" w:lineRule="auto"/>
        <w:ind w:firstLine="420" w:firstLineChars="200"/>
        <w:jc w:val="left"/>
        <w:rPr>
          <w:rFonts w:ascii="宋体" w:hAnsi="宋体" w:eastAsia="宋体"/>
          <w:szCs w:val="21"/>
        </w:rPr>
      </w:pPr>
      <w:r>
        <w:rPr>
          <w:rFonts w:ascii="宋体" w:hAnsi="宋体" w:eastAsia="宋体" w:cs="Arial"/>
          <w:szCs w:val="21"/>
        </w:rPr>
        <w:t>本文件规定了净零商业办公建筑的创建流程、净零评价要求、评价工作要求，以及建筑碳核查、碳信息披露指引等内容。</w:t>
      </w:r>
    </w:p>
    <w:p w14:paraId="7834F7A2">
      <w:pPr>
        <w:spacing w:before="120" w:after="120" w:line="288" w:lineRule="auto"/>
        <w:ind w:firstLine="420" w:firstLineChars="200"/>
        <w:jc w:val="left"/>
        <w:rPr>
          <w:rFonts w:ascii="宋体" w:hAnsi="宋体" w:eastAsia="宋体"/>
          <w:szCs w:val="21"/>
        </w:rPr>
      </w:pPr>
      <w:r>
        <w:rPr>
          <w:rFonts w:ascii="宋体" w:hAnsi="宋体" w:eastAsia="宋体" w:cs="Arial"/>
          <w:szCs w:val="21"/>
        </w:rPr>
        <w:t>本文件适用于业主开展净零商业办公建筑创建，以及第三方评价机构开展对净零商业办公建筑的评价。</w:t>
      </w:r>
    </w:p>
    <w:p w14:paraId="230CFBB0">
      <w:pPr>
        <w:pStyle w:val="2"/>
        <w:numPr>
          <w:ilvl w:val="0"/>
          <w:numId w:val="1"/>
        </w:numPr>
        <w:spacing w:before="240" w:after="240" w:afterLines="100" w:line="240" w:lineRule="auto"/>
        <w:rPr>
          <w:rFonts w:ascii="黑体" w:hAnsi="黑体" w:eastAsia="黑体"/>
          <w:b w:val="0"/>
          <w:sz w:val="21"/>
          <w:szCs w:val="21"/>
          <w14:ligatures w14:val="none"/>
        </w:rPr>
      </w:pPr>
      <w:bookmarkStart w:id="6" w:name="heading_3"/>
      <w:bookmarkStart w:id="7" w:name="_Toc167487077"/>
      <w:r>
        <w:rPr>
          <w:rFonts w:ascii="黑体" w:hAnsi="黑体" w:eastAsia="黑体"/>
          <w:b w:val="0"/>
          <w:sz w:val="21"/>
          <w:szCs w:val="21"/>
          <w14:ligatures w14:val="none"/>
        </w:rPr>
        <w:t>规范性引用</w:t>
      </w:r>
      <w:bookmarkEnd w:id="6"/>
      <w:bookmarkEnd w:id="7"/>
    </w:p>
    <w:p w14:paraId="44204FE7">
      <w:pPr>
        <w:spacing w:before="120" w:line="276" w:lineRule="auto"/>
        <w:ind w:firstLine="420" w:firstLineChars="200"/>
        <w:jc w:val="left"/>
        <w:rPr>
          <w:rFonts w:ascii="宋体" w:hAnsi="宋体" w:eastAsia="宋体" w:cs="Arial"/>
          <w:szCs w:val="21"/>
        </w:rPr>
      </w:pPr>
      <w:r>
        <w:rPr>
          <w:rFonts w:ascii="宋体" w:hAnsi="宋体" w:eastAsia="宋体" w:cs="Arial"/>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6A616E7">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GB/T 32150 工业企业温室气体排放核算和报告通则</w:t>
      </w:r>
    </w:p>
    <w:p w14:paraId="4075CBAF">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GB/T51161-2016</w:t>
      </w:r>
      <w:r>
        <w:rPr>
          <w:rFonts w:hint="eastAsia" w:ascii="Times New Roman" w:hAnsi="Times New Roman" w:eastAsia="宋体" w:cs="Times New Roman"/>
          <w:szCs w:val="24"/>
          <w14:ligatures w14:val="none"/>
        </w:rPr>
        <w:t xml:space="preserve"> 民用建筑能耗标准</w:t>
      </w:r>
    </w:p>
    <w:p w14:paraId="7D0EEBB7">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GB/T 51350-2019</w:t>
      </w:r>
      <w:r>
        <w:rPr>
          <w:rFonts w:hint="eastAsia" w:ascii="Times New Roman" w:hAnsi="Times New Roman" w:eastAsia="宋体" w:cs="Times New Roman"/>
          <w:szCs w:val="24"/>
          <w14:ligatures w14:val="none"/>
        </w:rPr>
        <w:t xml:space="preserve"> 近零能耗建筑技术标准</w:t>
      </w:r>
    </w:p>
    <w:p w14:paraId="296BC1A5">
      <w:pPr>
        <w:spacing w:line="276" w:lineRule="auto"/>
        <w:ind w:firstLine="420"/>
        <w:rPr>
          <w:rFonts w:ascii="Times New Roman" w:hAnsi="Times New Roman" w:eastAsia="宋体" w:cs="Times New Roman"/>
          <w:szCs w:val="24"/>
          <w14:ligatures w14:val="none"/>
        </w:rPr>
      </w:pPr>
      <w:r>
        <w:rPr>
          <w:rFonts w:hint="eastAsia" w:ascii="Times New Roman" w:hAnsi="Times New Roman" w:eastAsia="宋体" w:cs="Times New Roman"/>
          <w:szCs w:val="24"/>
          <w14:ligatures w14:val="none"/>
        </w:rPr>
        <w:t>GB 55015-2021 建筑节能与可再生能源利用通用规范</w:t>
      </w:r>
    </w:p>
    <w:p w14:paraId="65B7BC2B">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JGJ/T67-2019</w:t>
      </w:r>
      <w:r>
        <w:rPr>
          <w:rFonts w:hint="eastAsia" w:ascii="Times New Roman" w:hAnsi="Times New Roman" w:eastAsia="宋体" w:cs="Times New Roman"/>
          <w:szCs w:val="24"/>
          <w14:ligatures w14:val="none"/>
        </w:rPr>
        <w:t xml:space="preserve"> </w:t>
      </w:r>
      <w:r>
        <w:rPr>
          <w:rFonts w:ascii="Times New Roman" w:hAnsi="Times New Roman" w:eastAsia="宋体" w:cs="Times New Roman"/>
          <w:szCs w:val="24"/>
          <w14:ligatures w14:val="none"/>
        </w:rPr>
        <w:t>办公建筑设计标准</w:t>
      </w:r>
      <w:r>
        <w:rPr>
          <w:rFonts w:hint="eastAsia" w:ascii="Times New Roman" w:hAnsi="Times New Roman" w:eastAsia="宋体" w:cs="Times New Roman"/>
          <w:szCs w:val="24"/>
          <w14:ligatures w14:val="none"/>
        </w:rPr>
        <w:t xml:space="preserve"> </w:t>
      </w:r>
    </w:p>
    <w:p w14:paraId="5E1F68C6">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highlight w:val="yellow"/>
          <w14:ligatures w14:val="none"/>
        </w:rPr>
        <w:t>零碳建筑技术标准（征求意见稿）</w:t>
      </w:r>
    </w:p>
    <w:p w14:paraId="15F2544D">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 xml:space="preserve">ISO IWA 42:2022 净零指南 (ISO IWA 421:2022 Net Zero Guidances) </w:t>
      </w:r>
    </w:p>
    <w:p w14:paraId="0C98C067">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ISO 14064-1 温室气体 第 1 部分：组织层面量化和报告温室气体排放和清除的规范和指导 (Greenhouse gases — Part 1: Specification with guidance at the organization level for quantification and reporting of greenhouse gas emissions and removals)</w:t>
      </w:r>
    </w:p>
    <w:p w14:paraId="5B19EC42">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ISO 14068-1 气候变化管理 向净零过渡 第1部分— 碳中和 (Climate change management — Transition to net zero — Part 1: Carbon neutrality)</w:t>
      </w:r>
    </w:p>
    <w:p w14:paraId="0C898CB3">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世界自然资源研究所（WRI）与世界企业永续发展委员会（WBSCD）温室气体核算体系 企业核算与报告标准(The Greenhouse Gas Protocol—A Corporate Accounting and Reporting Standard Revised Edition)</w:t>
      </w:r>
    </w:p>
    <w:p w14:paraId="13E77803">
      <w:pPr>
        <w:spacing w:line="276" w:lineRule="auto"/>
        <w:ind w:firstLine="4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t>政府间气候变化专门委员会（IPCC）第六次评估报告第三工作组报告 气候变化2022：减缓气候变化 (IPCC Six Assessment Report-Working Group III (AR6 WGIII) Climate Change 2022: Mitigation of Climate Change)</w:t>
      </w:r>
    </w:p>
    <w:p w14:paraId="31F3BB6B">
      <w:pPr>
        <w:pStyle w:val="2"/>
        <w:numPr>
          <w:ilvl w:val="0"/>
          <w:numId w:val="1"/>
        </w:numPr>
        <w:spacing w:before="240" w:after="240" w:afterLines="100" w:line="240" w:lineRule="auto"/>
        <w:rPr>
          <w:rFonts w:ascii="黑体" w:hAnsi="黑体" w:eastAsia="黑体"/>
          <w:b w:val="0"/>
          <w:sz w:val="21"/>
          <w:szCs w:val="21"/>
          <w14:ligatures w14:val="none"/>
        </w:rPr>
      </w:pPr>
      <w:bookmarkStart w:id="8" w:name="_Toc167487078"/>
      <w:bookmarkStart w:id="9" w:name="heading_4"/>
      <w:r>
        <w:rPr>
          <w:rFonts w:ascii="黑体" w:hAnsi="黑体" w:eastAsia="黑体"/>
          <w:b w:val="0"/>
          <w:sz w:val="21"/>
          <w:szCs w:val="21"/>
          <w14:ligatures w14:val="none"/>
        </w:rPr>
        <w:t>术语和定义</w:t>
      </w:r>
      <w:bookmarkEnd w:id="8"/>
      <w:bookmarkEnd w:id="9"/>
    </w:p>
    <w:p w14:paraId="6E69D7C7">
      <w:pPr>
        <w:spacing w:before="120" w:after="120" w:line="288" w:lineRule="auto"/>
        <w:ind w:firstLine="420" w:firstLineChars="200"/>
        <w:jc w:val="left"/>
        <w:rPr>
          <w:rFonts w:ascii="宋体" w:hAnsi="宋体" w:eastAsia="宋体" w:cs="Arial"/>
          <w:szCs w:val="21"/>
        </w:rPr>
      </w:pPr>
      <w:r>
        <w:rPr>
          <w:rFonts w:ascii="宋体" w:hAnsi="宋体" w:eastAsia="宋体" w:cs="Arial"/>
          <w:szCs w:val="21"/>
        </w:rPr>
        <w:t>下列术语和定义适用于本标准。</w:t>
      </w:r>
    </w:p>
    <w:p w14:paraId="6D87DA50">
      <w:pPr>
        <w:pStyle w:val="3"/>
        <w:spacing w:before="240" w:beforeLines="100" w:after="120"/>
        <w:rPr>
          <w:rFonts w:ascii="黑体" w:hAnsi="黑体" w:eastAsia="黑体"/>
          <w:b w:val="0"/>
          <w:sz w:val="21"/>
          <w:szCs w:val="21"/>
          <w14:ligatures w14:val="none"/>
        </w:rPr>
      </w:pPr>
      <w:bookmarkStart w:id="10" w:name="_Toc167487079"/>
      <w:bookmarkStart w:id="11" w:name="heading_5"/>
      <w:r>
        <w:rPr>
          <w:rFonts w:ascii="黑体" w:hAnsi="黑体" w:eastAsia="黑体"/>
          <w:b w:val="0"/>
          <w:sz w:val="21"/>
          <w:szCs w:val="21"/>
          <w14:ligatures w14:val="none"/>
        </w:rPr>
        <w:t>3.1 与建筑相关的术语</w:t>
      </w:r>
      <w:bookmarkEnd w:id="10"/>
      <w:bookmarkEnd w:id="11"/>
    </w:p>
    <w:p w14:paraId="096D131D">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3.1.1</w:t>
      </w:r>
    </w:p>
    <w:p w14:paraId="0FCF13FF">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办公建筑 office building</w:t>
      </w:r>
    </w:p>
    <w:p w14:paraId="163EC487">
      <w:pPr>
        <w:spacing w:line="276" w:lineRule="auto"/>
        <w:ind w:firstLine="420"/>
        <w:jc w:val="left"/>
        <w:rPr>
          <w:rFonts w:ascii="宋体" w:hAnsi="宋体" w:eastAsia="宋体"/>
          <w:szCs w:val="21"/>
        </w:rPr>
      </w:pPr>
      <w:r>
        <w:rPr>
          <w:rFonts w:ascii="宋体" w:hAnsi="宋体" w:eastAsia="宋体" w:cs="Arial"/>
          <w:szCs w:val="21"/>
        </w:rPr>
        <w:t>供机关、团体和企事业单位办理行政事务和从事各类业务活动的建筑物。</w:t>
      </w:r>
    </w:p>
    <w:p w14:paraId="01062CF0">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[来源：JGJ/T67-2019《办公建筑设计标准》，2.0.1]</w:t>
      </w:r>
    </w:p>
    <w:p w14:paraId="2BC5FB5D">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3.1.2</w:t>
      </w:r>
    </w:p>
    <w:p w14:paraId="64F6A803">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 xml:space="preserve">商业办公建筑 </w:t>
      </w:r>
      <w:r>
        <w:rPr>
          <w:rFonts w:hint="eastAsia" w:ascii="黑体" w:hAnsi="黑体" w:eastAsia="黑体" w:cs="Times New Roman"/>
          <w:bCs/>
          <w:szCs w:val="21"/>
          <w14:ligatures w14:val="none"/>
        </w:rPr>
        <w:t>c</w:t>
      </w:r>
      <w:r>
        <w:rPr>
          <w:rFonts w:ascii="黑体" w:hAnsi="黑体" w:eastAsia="黑体" w:cs="Times New Roman"/>
          <w:bCs/>
          <w:szCs w:val="21"/>
          <w14:ligatures w14:val="none"/>
        </w:rPr>
        <w:t>ommercial office building</w:t>
      </w:r>
    </w:p>
    <w:p w14:paraId="6598571A">
      <w:pPr>
        <w:spacing w:line="276" w:lineRule="auto"/>
        <w:ind w:firstLine="420"/>
        <w:jc w:val="left"/>
        <w:rPr>
          <w:rFonts w:ascii="宋体" w:hAnsi="宋体" w:eastAsia="宋体"/>
          <w:szCs w:val="21"/>
        </w:rPr>
      </w:pPr>
      <w:r>
        <w:rPr>
          <w:rFonts w:ascii="宋体" w:hAnsi="宋体" w:eastAsia="宋体" w:cs="Arial"/>
          <w:szCs w:val="21"/>
        </w:rPr>
        <w:t>在统一物业管理下，以商务为主，由一种或数种办公空间组成的办公建筑。</w:t>
      </w:r>
    </w:p>
    <w:p w14:paraId="205267D9">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[来源：JGJ/T67-2019《办公建筑设计标准》，2.0.3]</w:t>
      </w:r>
    </w:p>
    <w:p w14:paraId="6332ED9B">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3.1.3</w:t>
      </w:r>
    </w:p>
    <w:p w14:paraId="1466BCC9">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 xml:space="preserve">基准建筑 reference building </w:t>
      </w:r>
    </w:p>
    <w:p w14:paraId="44653366">
      <w:pPr>
        <w:spacing w:line="276" w:lineRule="auto"/>
        <w:ind w:left="420" w:leftChars="200"/>
        <w:jc w:val="left"/>
        <w:rPr>
          <w:rFonts w:ascii="宋体" w:hAnsi="宋体" w:eastAsia="宋体"/>
          <w:szCs w:val="21"/>
        </w:rPr>
      </w:pPr>
      <w:r>
        <w:rPr>
          <w:rFonts w:ascii="宋体" w:hAnsi="宋体" w:eastAsia="宋体" w:cs="Arial"/>
          <w:szCs w:val="21"/>
        </w:rPr>
        <w:t>用于计算建筑降碳率的标准比对建筑。</w:t>
      </w:r>
    </w:p>
    <w:p w14:paraId="7971BBB9">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[来源：零碳建筑技术标准（征求意见稿），2.0.5]</w:t>
      </w:r>
    </w:p>
    <w:p w14:paraId="45D57A37">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3.1.4</w:t>
      </w:r>
    </w:p>
    <w:p w14:paraId="1B3BA916">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净零建筑 net zero building</w:t>
      </w:r>
    </w:p>
    <w:p w14:paraId="5AD274A7">
      <w:pPr>
        <w:spacing w:line="276" w:lineRule="auto"/>
        <w:ind w:firstLine="420"/>
        <w:jc w:val="left"/>
        <w:rPr>
          <w:rFonts w:ascii="宋体" w:hAnsi="宋体" w:eastAsia="宋体" w:cs="Arial"/>
          <w:szCs w:val="21"/>
        </w:rPr>
      </w:pPr>
      <w:r>
        <w:rPr>
          <w:rFonts w:ascii="宋体" w:hAnsi="宋体" w:eastAsia="宋体" w:cs="Arial"/>
          <w:szCs w:val="21"/>
        </w:rPr>
        <w:t>综合考虑建筑管理、能源、维护、碳排放、价值链等因素，通过降低建筑用能需求，提高能源设备与系统效率，充分利用可再生能源和建筑蓄能，在实现碳足迹最大化的基础上，可通过碳</w:t>
      </w:r>
      <w:r>
        <w:rPr>
          <w:rFonts w:hint="eastAsia" w:ascii="宋体" w:hAnsi="宋体" w:eastAsia="宋体" w:cs="Arial"/>
          <w:szCs w:val="21"/>
        </w:rPr>
        <w:t>清除</w:t>
      </w:r>
      <w:r>
        <w:rPr>
          <w:rFonts w:ascii="宋体" w:hAnsi="宋体" w:eastAsia="宋体" w:cs="Arial"/>
          <w:szCs w:val="21"/>
        </w:rPr>
        <w:t>和采用碳信用对</w:t>
      </w:r>
      <w:r>
        <w:rPr>
          <w:rFonts w:hint="eastAsia" w:ascii="宋体" w:hAnsi="宋体" w:eastAsia="宋体" w:cs="Arial"/>
          <w:szCs w:val="21"/>
        </w:rPr>
        <w:t>残留</w:t>
      </w:r>
      <w:r>
        <w:rPr>
          <w:rFonts w:ascii="宋体" w:hAnsi="宋体" w:eastAsia="宋体" w:cs="Arial"/>
          <w:szCs w:val="21"/>
        </w:rPr>
        <w:t>排放进行</w:t>
      </w:r>
      <w:r>
        <w:rPr>
          <w:rFonts w:hint="eastAsia" w:ascii="宋体" w:hAnsi="宋体" w:eastAsia="宋体" w:cs="Arial"/>
          <w:szCs w:val="21"/>
        </w:rPr>
        <w:t>平衡</w:t>
      </w:r>
      <w:r>
        <w:rPr>
          <w:rFonts w:ascii="宋体" w:hAnsi="宋体" w:eastAsia="宋体" w:cs="Arial"/>
          <w:szCs w:val="21"/>
        </w:rPr>
        <w:t>，最终</w:t>
      </w:r>
      <w:r>
        <w:rPr>
          <w:rFonts w:hint="eastAsia" w:ascii="宋体" w:hAnsi="宋体" w:eastAsia="宋体" w:cs="Arial"/>
          <w:szCs w:val="21"/>
        </w:rPr>
        <w:t>达成</w:t>
      </w:r>
      <w:r>
        <w:rPr>
          <w:rFonts w:ascii="宋体" w:hAnsi="宋体" w:eastAsia="宋体" w:cs="Arial"/>
          <w:szCs w:val="21"/>
        </w:rPr>
        <w:t>净零</w:t>
      </w:r>
      <w:r>
        <w:rPr>
          <w:rFonts w:hint="eastAsia" w:ascii="宋体" w:hAnsi="宋体" w:eastAsia="宋体" w:cs="Arial"/>
          <w:szCs w:val="21"/>
        </w:rPr>
        <w:t>排放的</w:t>
      </w:r>
      <w:r>
        <w:rPr>
          <w:rFonts w:ascii="宋体" w:hAnsi="宋体" w:eastAsia="宋体" w:cs="Arial"/>
          <w:szCs w:val="21"/>
        </w:rPr>
        <w:t>建筑。</w:t>
      </w:r>
    </w:p>
    <w:p w14:paraId="1716247F">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3.1.5</w:t>
      </w:r>
    </w:p>
    <w:p w14:paraId="56D20555">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净零就绪 zero carbon ready building</w:t>
      </w:r>
    </w:p>
    <w:p w14:paraId="52235F7A">
      <w:pPr>
        <w:spacing w:line="276" w:lineRule="auto"/>
        <w:ind w:firstLine="420"/>
        <w:jc w:val="left"/>
        <w:rPr>
          <w:rFonts w:ascii="宋体" w:hAnsi="宋体" w:eastAsia="宋体" w:cs="Arial"/>
          <w:szCs w:val="21"/>
        </w:rPr>
      </w:pPr>
      <w:r>
        <w:rPr>
          <w:rFonts w:ascii="宋体" w:hAnsi="宋体" w:eastAsia="宋体" w:cs="Arial"/>
          <w:szCs w:val="21"/>
        </w:rPr>
        <w:t>综合考虑建筑管理、能源、维护、碳排放、价值链等因素，通过高能效设计、可再生能源接入、智慧管理以及预留未来技术升级空间等措施，最大限度地提高能源、材料和空间的高效智能利用，确保到2050年建筑无需进行重大改造即可实现净零排放，实现净零就绪符合5.</w:t>
      </w:r>
      <w:r>
        <w:rPr>
          <w:rFonts w:hint="eastAsia" w:ascii="宋体" w:hAnsi="宋体" w:eastAsia="宋体" w:cs="Arial"/>
          <w:szCs w:val="21"/>
        </w:rPr>
        <w:t>6</w:t>
      </w:r>
      <w:r>
        <w:rPr>
          <w:rFonts w:ascii="宋体" w:hAnsi="宋体" w:eastAsia="宋体" w:cs="Arial"/>
          <w:szCs w:val="21"/>
        </w:rPr>
        <w:t>章的评价要求。</w:t>
      </w:r>
    </w:p>
    <w:p w14:paraId="07959B49">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3.1.6</w:t>
      </w:r>
    </w:p>
    <w:p w14:paraId="275C7C10">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碳中和建筑 carbon neutral building</w:t>
      </w:r>
    </w:p>
    <w:p w14:paraId="739DB777">
      <w:pPr>
        <w:spacing w:line="276" w:lineRule="auto"/>
        <w:ind w:firstLine="420"/>
        <w:jc w:val="left"/>
        <w:rPr>
          <w:rFonts w:ascii="宋体" w:hAnsi="宋体" w:eastAsia="宋体" w:cs="Arial"/>
          <w:szCs w:val="21"/>
        </w:rPr>
      </w:pPr>
      <w:r>
        <w:rPr>
          <w:rFonts w:ascii="宋体" w:hAnsi="宋体" w:eastAsia="宋体" w:cs="Arial"/>
          <w:szCs w:val="21"/>
        </w:rPr>
        <w:t>综合考虑建筑管理、能源、维护、碳排放、价值链等因素，</w:t>
      </w:r>
      <w:r>
        <w:rPr>
          <w:rFonts w:hint="eastAsia" w:ascii="宋体" w:hAnsi="宋体" w:eastAsia="宋体" w:cs="Arial"/>
          <w:szCs w:val="21"/>
        </w:rPr>
        <w:t>通过开展建筑减碳举措，</w:t>
      </w:r>
      <w:r>
        <w:rPr>
          <w:rFonts w:ascii="宋体" w:hAnsi="宋体" w:eastAsia="宋体" w:cs="Arial"/>
          <w:szCs w:val="21"/>
        </w:rPr>
        <w:t>在特定时期内实现一定温室气体减少或温室气体清除增强，如果建筑剩余排放大于零，则通过</w:t>
      </w:r>
      <w:r>
        <w:rPr>
          <w:rFonts w:hint="eastAsia" w:ascii="宋体" w:hAnsi="宋体" w:eastAsia="宋体" w:cs="Arial"/>
          <w:szCs w:val="21"/>
        </w:rPr>
        <w:t>碳</w:t>
      </w:r>
      <w:r>
        <w:rPr>
          <w:rFonts w:ascii="宋体" w:hAnsi="宋体" w:eastAsia="宋体" w:cs="Arial"/>
          <w:szCs w:val="21"/>
        </w:rPr>
        <w:t>抵消来平衡的建筑。</w:t>
      </w:r>
    </w:p>
    <w:p w14:paraId="01C8CD28">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3.1.7</w:t>
      </w:r>
    </w:p>
    <w:p w14:paraId="32129DBE">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建筑能耗 building energy consumption</w:t>
      </w:r>
    </w:p>
    <w:p w14:paraId="0F3A545F">
      <w:pPr>
        <w:spacing w:line="276" w:lineRule="auto"/>
        <w:ind w:firstLine="420"/>
        <w:jc w:val="left"/>
        <w:rPr>
          <w:rFonts w:ascii="宋体" w:hAnsi="宋体" w:eastAsia="宋体"/>
          <w:szCs w:val="21"/>
        </w:rPr>
      </w:pPr>
      <w:r>
        <w:rPr>
          <w:rFonts w:ascii="宋体" w:hAnsi="宋体" w:eastAsia="宋体" w:cs="Arial"/>
          <w:szCs w:val="21"/>
        </w:rPr>
        <w:t>建筑使用过程中由外部输入的能源，包括维持建筑环境的用能(如供暖、制冷、通风、空调和照明等)和各类建筑内活动(如办公、电梯、生活热水等)的用能。</w:t>
      </w:r>
    </w:p>
    <w:p w14:paraId="4BC38BE4">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[来源：GB/T51161-2016, 2.01]</w:t>
      </w:r>
    </w:p>
    <w:p w14:paraId="15256004">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3.1.7</w:t>
      </w:r>
    </w:p>
    <w:p w14:paraId="27DA7954">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建筑能耗综合值 building comprehensive energy consumption</w:t>
      </w:r>
    </w:p>
    <w:p w14:paraId="036D5AA5">
      <w:pPr>
        <w:spacing w:line="276" w:lineRule="auto"/>
        <w:ind w:left="420" w:leftChars="200"/>
        <w:jc w:val="left"/>
        <w:rPr>
          <w:rFonts w:ascii="宋体" w:hAnsi="宋体" w:eastAsia="宋体"/>
          <w:szCs w:val="21"/>
        </w:rPr>
      </w:pPr>
      <w:r>
        <w:rPr>
          <w:rFonts w:ascii="宋体" w:hAnsi="宋体" w:eastAsia="宋体" w:cs="Arial"/>
          <w:szCs w:val="21"/>
        </w:rPr>
        <w:t>建筑终端能耗量，利用能源换算系数，统一换算到标准煤当量后，两者的差值。</w:t>
      </w:r>
    </w:p>
    <w:p w14:paraId="153B183A">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[来源：GB/T51350-2019《近零能耗建筑技术标准》，2.0.6，有修改]</w:t>
      </w:r>
    </w:p>
    <w:p w14:paraId="2D7BC908">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3.1.8</w:t>
      </w:r>
    </w:p>
    <w:p w14:paraId="171D29F6">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建筑本体节能率 building energy efficiency improvement rate</w:t>
      </w:r>
    </w:p>
    <w:p w14:paraId="54DF8162">
      <w:pPr>
        <w:spacing w:line="276" w:lineRule="auto"/>
        <w:ind w:firstLine="420"/>
        <w:jc w:val="left"/>
        <w:rPr>
          <w:rFonts w:ascii="宋体" w:hAnsi="宋体" w:eastAsia="宋体"/>
          <w:szCs w:val="21"/>
        </w:rPr>
      </w:pPr>
      <w:r>
        <w:rPr>
          <w:rFonts w:ascii="宋体" w:hAnsi="宋体" w:eastAsia="宋体" w:cs="Arial"/>
          <w:szCs w:val="21"/>
        </w:rPr>
        <w:t>运行建筑的能耗综合值与基准建筑的建筑综合值的差值，与基准建筑的能耗综合值的比值的绝对值。</w:t>
      </w:r>
    </w:p>
    <w:p w14:paraId="1D735D3A">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[来源：GB/T51350-2019《近零能耗建筑技术标准》，2.0.12]</w:t>
      </w:r>
    </w:p>
    <w:p w14:paraId="47011A83">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3.1.9</w:t>
      </w:r>
    </w:p>
    <w:p w14:paraId="6DCC3EA1">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建筑运行排放强度 building operational emission intensity</w:t>
      </w:r>
    </w:p>
    <w:p w14:paraId="4F8B880B">
      <w:pPr>
        <w:spacing w:line="276" w:lineRule="auto"/>
        <w:ind w:left="420" w:leftChars="200"/>
        <w:jc w:val="left"/>
        <w:rPr>
          <w:rFonts w:ascii="宋体" w:hAnsi="宋体" w:eastAsia="宋体"/>
          <w:szCs w:val="21"/>
        </w:rPr>
      </w:pPr>
      <w:r>
        <w:rPr>
          <w:rFonts w:ascii="宋体" w:hAnsi="宋体" w:eastAsia="宋体" w:cs="Arial"/>
          <w:szCs w:val="21"/>
        </w:rPr>
        <w:t>在实际运行条件下，终端能耗按碳排放因子换算的碳排放量与建筑面积的比值。</w:t>
      </w:r>
    </w:p>
    <w:p w14:paraId="36EEFB05">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[来源：零碳建筑技术标准（征求意见稿），2.0.11，有修改]</w:t>
      </w:r>
    </w:p>
    <w:p w14:paraId="2683F49F">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3.1.10</w:t>
      </w:r>
    </w:p>
    <w:p w14:paraId="0920AD4F">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建筑降碳率building carbon dioxide reducing ratio</w:t>
      </w:r>
    </w:p>
    <w:p w14:paraId="45A575E8">
      <w:pPr>
        <w:spacing w:line="276" w:lineRule="auto"/>
        <w:ind w:left="420" w:leftChars="200"/>
        <w:jc w:val="left"/>
        <w:rPr>
          <w:rFonts w:ascii="宋体" w:hAnsi="宋体" w:eastAsia="宋体"/>
          <w:szCs w:val="21"/>
        </w:rPr>
      </w:pPr>
      <w:r>
        <w:rPr>
          <w:rFonts w:ascii="宋体" w:hAnsi="宋体" w:eastAsia="宋体" w:cs="Arial"/>
          <w:szCs w:val="21"/>
        </w:rPr>
        <w:t>基准建筑碳排放强度和设计建筑碳排放强度的差值，与基准建筑碳排放强度的比值。</w:t>
      </w:r>
    </w:p>
    <w:p w14:paraId="77A926AF">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[来源：零碳建筑技术标准（征求意见稿），2.0.12]</w:t>
      </w:r>
    </w:p>
    <w:p w14:paraId="4400167F">
      <w:pPr>
        <w:spacing w:line="276" w:lineRule="auto"/>
        <w:rPr>
          <w:rFonts w:ascii="黑体" w:hAnsi="黑体" w:eastAsia="黑体" w:cs="Times New Roman"/>
          <w:bCs/>
          <w:szCs w:val="21"/>
          <w14:ligatures w14:val="none"/>
        </w:rPr>
      </w:pPr>
      <w:r>
        <w:rPr>
          <w:rFonts w:hint="eastAsia" w:ascii="黑体" w:hAnsi="黑体" w:eastAsia="黑体" w:cs="Times New Roman"/>
          <w:bCs/>
          <w:szCs w:val="21"/>
          <w14:ligatures w14:val="none"/>
        </w:rPr>
        <w:t>3.1.11</w:t>
      </w:r>
    </w:p>
    <w:p w14:paraId="2F3E0CDF">
      <w:pPr>
        <w:spacing w:line="276" w:lineRule="auto"/>
        <w:ind w:firstLine="420"/>
        <w:rPr>
          <w:rFonts w:ascii="黑体" w:hAnsi="黑体" w:eastAsia="黑体" w:cs="Times New Roman"/>
          <w:bCs/>
          <w:szCs w:val="21"/>
          <w14:ligatures w14:val="none"/>
        </w:rPr>
      </w:pPr>
      <w:r>
        <w:rPr>
          <w:rFonts w:ascii="黑体" w:hAnsi="黑体" w:eastAsia="黑体" w:cs="Times New Roman"/>
          <w:bCs/>
          <w:szCs w:val="21"/>
          <w14:ligatures w14:val="none"/>
        </w:rPr>
        <w:t>电气化率 electrification rate</w:t>
      </w:r>
    </w:p>
    <w:p w14:paraId="7A80A63E">
      <w:pPr>
        <w:spacing w:line="276" w:lineRule="auto"/>
        <w:ind w:left="420" w:leftChars="200"/>
        <w:jc w:val="left"/>
        <w:rPr>
          <w:rFonts w:ascii="宋体" w:hAnsi="宋体" w:eastAsia="宋体"/>
          <w:szCs w:val="21"/>
        </w:rPr>
      </w:pPr>
      <w:r>
        <w:rPr>
          <w:rFonts w:ascii="宋体" w:hAnsi="宋体" w:eastAsia="宋体" w:cs="Arial"/>
          <w:szCs w:val="21"/>
        </w:rPr>
        <w:t>终端电力能源消费与区域终端全部能源消费的比值。</w:t>
      </w:r>
    </w:p>
    <w:p w14:paraId="3476938F">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[来源：零碳建筑技术标准（征求意见稿），2.0.24]</w:t>
      </w:r>
    </w:p>
    <w:p w14:paraId="3FDE5E27">
      <w:pPr>
        <w:pStyle w:val="3"/>
        <w:numPr>
          <w:ilvl w:val="1"/>
          <w:numId w:val="1"/>
        </w:numPr>
        <w:spacing w:before="240" w:beforeLines="100" w:after="120"/>
        <w:rPr>
          <w:rFonts w:ascii="黑体" w:hAnsi="黑体" w:eastAsia="黑体"/>
          <w:b w:val="0"/>
          <w:sz w:val="21"/>
          <w:szCs w:val="21"/>
          <w14:ligatures w14:val="none"/>
        </w:rPr>
      </w:pPr>
      <w:bookmarkStart w:id="12" w:name="_Toc167487080"/>
      <w:bookmarkStart w:id="13" w:name="heading_6"/>
      <w:r>
        <w:rPr>
          <w:rFonts w:ascii="黑体" w:hAnsi="黑体" w:eastAsia="黑体"/>
          <w:b w:val="0"/>
          <w:sz w:val="21"/>
          <w:szCs w:val="21"/>
          <w14:ligatures w14:val="none"/>
        </w:rPr>
        <w:t>与温室气体相关的术语</w:t>
      </w:r>
      <w:bookmarkEnd w:id="12"/>
      <w:bookmarkEnd w:id="13"/>
    </w:p>
    <w:p w14:paraId="3526F417">
      <w:pPr>
        <w:rPr>
          <w:rFonts w:ascii="黑体" w:hAnsi="黑体" w:eastAsia="黑体"/>
        </w:rPr>
      </w:pPr>
      <w:r>
        <w:rPr>
          <w:rFonts w:hint="eastAsia" w:ascii="黑体" w:hAnsi="黑体" w:eastAsia="黑体"/>
        </w:rPr>
        <w:t>3.2.1</w:t>
      </w:r>
    </w:p>
    <w:p w14:paraId="7184FE32">
      <w:pPr>
        <w:spacing w:line="276" w:lineRule="auto"/>
        <w:ind w:firstLine="420" w:firstLineChars="200"/>
        <w:jc w:val="left"/>
        <w:rPr>
          <w:rFonts w:ascii="黑体" w:hAnsi="黑体" w:eastAsia="黑体"/>
          <w:bCs/>
          <w:szCs w:val="21"/>
        </w:rPr>
      </w:pPr>
      <w:r>
        <w:rPr>
          <w:rFonts w:ascii="黑体" w:hAnsi="黑体" w:eastAsia="黑体" w:cs="Arial"/>
          <w:bCs/>
          <w:szCs w:val="21"/>
        </w:rPr>
        <w:t xml:space="preserve">温室气体 greenhouse gas (GHG) </w:t>
      </w:r>
    </w:p>
    <w:p w14:paraId="1618BD07">
      <w:pPr>
        <w:spacing w:line="276" w:lineRule="auto"/>
        <w:ind w:firstLine="420" w:firstLineChars="200"/>
        <w:jc w:val="left"/>
        <w:rPr>
          <w:rFonts w:ascii="宋体" w:hAnsi="宋体" w:eastAsia="宋体"/>
          <w:szCs w:val="21"/>
        </w:rPr>
      </w:pPr>
      <w:r>
        <w:rPr>
          <w:rFonts w:ascii="宋体" w:hAnsi="宋体" w:eastAsia="宋体" w:cs="Arial"/>
          <w:szCs w:val="21"/>
        </w:rPr>
        <w:t xml:space="preserve">大气层中自然存在的和由于人类活动产生的能够吸收和散发由地球表面、大气层和云层所产生的、波长在红外光谱内的辐射的气态成分。 </w:t>
      </w:r>
    </w:p>
    <w:p w14:paraId="4E186892">
      <w:pPr>
        <w:spacing w:line="276" w:lineRule="auto"/>
        <w:ind w:left="420" w:leftChars="200"/>
        <w:jc w:val="left"/>
        <w:rPr>
          <w:rFonts w:ascii="宋体" w:hAnsi="宋体" w:eastAsia="宋体"/>
          <w:sz w:val="18"/>
          <w:szCs w:val="18"/>
        </w:rPr>
      </w:pPr>
      <w:r>
        <w:rPr>
          <w:rFonts w:ascii="黑体" w:hAnsi="黑体" w:eastAsia="黑体" w:cs="Arial"/>
          <w:sz w:val="18"/>
          <w:szCs w:val="18"/>
        </w:rPr>
        <w:t>注：</w:t>
      </w:r>
      <w:r>
        <w:rPr>
          <w:rFonts w:ascii="宋体" w:hAnsi="宋体" w:eastAsia="宋体" w:cs="Arial"/>
          <w:sz w:val="18"/>
          <w:szCs w:val="18"/>
        </w:rPr>
        <w:t>如无特别说明，本标准中的温室气体包括二氧化碳(CO</w:t>
      </w:r>
      <w:r>
        <w:rPr>
          <w:rFonts w:hint="eastAsia" w:ascii="宋体" w:hAnsi="宋体" w:eastAsia="宋体" w:cs="Arial"/>
          <w:sz w:val="18"/>
          <w:szCs w:val="18"/>
          <w:vertAlign w:val="subscript"/>
        </w:rPr>
        <w:t>2</w:t>
      </w:r>
      <w:r>
        <w:rPr>
          <w:rFonts w:ascii="宋体" w:hAnsi="宋体" w:eastAsia="宋体" w:cs="Arial"/>
          <w:sz w:val="18"/>
          <w:szCs w:val="18"/>
        </w:rPr>
        <w:t>)、甲烷(CH</w:t>
      </w:r>
      <w:r>
        <w:rPr>
          <w:rFonts w:hint="eastAsia" w:ascii="宋体" w:hAnsi="宋体" w:eastAsia="宋体" w:cs="Arial"/>
          <w:sz w:val="18"/>
          <w:szCs w:val="18"/>
          <w:vertAlign w:val="subscript"/>
        </w:rPr>
        <w:t>4</w:t>
      </w:r>
      <w:r>
        <w:rPr>
          <w:rFonts w:ascii="宋体" w:hAnsi="宋体" w:eastAsia="宋体" w:cs="Arial"/>
          <w:sz w:val="18"/>
          <w:szCs w:val="18"/>
        </w:rPr>
        <w:t>)、氧化亚氮(N</w:t>
      </w:r>
      <w:r>
        <w:rPr>
          <w:rFonts w:hint="eastAsia" w:ascii="宋体" w:hAnsi="宋体" w:eastAsia="宋体" w:cs="Arial"/>
          <w:sz w:val="18"/>
          <w:szCs w:val="18"/>
          <w:vertAlign w:val="subscript"/>
        </w:rPr>
        <w:t>2</w:t>
      </w:r>
      <w:r>
        <w:rPr>
          <w:rFonts w:ascii="宋体" w:hAnsi="宋体" w:eastAsia="宋体" w:cs="Arial"/>
          <w:sz w:val="18"/>
          <w:szCs w:val="18"/>
        </w:rPr>
        <w:t>O)、氢氟碳化物(HFCs)、全氟碳化物(PFCs)、六氟化硫(SF</w:t>
      </w:r>
      <w:r>
        <w:rPr>
          <w:rFonts w:hint="eastAsia" w:ascii="宋体" w:hAnsi="宋体" w:eastAsia="宋体" w:cs="Arial"/>
          <w:sz w:val="18"/>
          <w:szCs w:val="18"/>
          <w:vertAlign w:val="subscript"/>
        </w:rPr>
        <w:t>6</w:t>
      </w:r>
      <w:r>
        <w:rPr>
          <w:rFonts w:ascii="宋体" w:hAnsi="宋体" w:eastAsia="宋体" w:cs="Arial"/>
          <w:sz w:val="18"/>
          <w:szCs w:val="18"/>
        </w:rPr>
        <w:t>)与三氟化氮(NF</w:t>
      </w:r>
      <w:r>
        <w:rPr>
          <w:rFonts w:hint="eastAsia" w:ascii="宋体" w:hAnsi="宋体" w:eastAsia="宋体" w:cs="Arial"/>
          <w:sz w:val="18"/>
          <w:szCs w:val="18"/>
          <w:vertAlign w:val="subscript"/>
        </w:rPr>
        <w:t>3</w:t>
      </w:r>
      <w:r>
        <w:rPr>
          <w:rFonts w:ascii="宋体" w:hAnsi="宋体" w:eastAsia="宋体" w:cs="Arial"/>
          <w:sz w:val="18"/>
          <w:szCs w:val="18"/>
        </w:rPr>
        <w:t xml:space="preserve">)。 </w:t>
      </w:r>
    </w:p>
    <w:p w14:paraId="19707744">
      <w:pPr>
        <w:spacing w:line="276" w:lineRule="auto"/>
        <w:ind w:firstLine="420"/>
        <w:jc w:val="left"/>
        <w:rPr>
          <w:rFonts w:ascii="Times New Roman" w:hAnsi="Times New Roman" w:eastAsia="宋体" w:cs="Times New Roman"/>
          <w:szCs w:val="21"/>
        </w:rPr>
      </w:pPr>
      <w:r>
        <w:rPr>
          <w:rFonts w:ascii="Times New Roman" w:hAnsi="Times New Roman" w:eastAsia="宋体" w:cs="Times New Roman"/>
          <w:szCs w:val="21"/>
        </w:rPr>
        <w:t>[来源：GB/T 32150—2015，3.1]</w:t>
      </w:r>
    </w:p>
    <w:p w14:paraId="12AE50E7">
      <w:pPr>
        <w:rPr>
          <w:rFonts w:ascii="黑体" w:hAnsi="黑体" w:eastAsia="黑体"/>
        </w:rPr>
      </w:pPr>
      <w:r>
        <w:rPr>
          <w:rFonts w:hint="eastAsia" w:ascii="黑体" w:hAnsi="黑体" w:eastAsia="黑体"/>
        </w:rPr>
        <w:t>3.2.2</w:t>
      </w:r>
    </w:p>
    <w:p w14:paraId="4F8C5174">
      <w:pPr>
        <w:ind w:firstLine="420"/>
        <w:rPr>
          <w:rFonts w:ascii="黑体" w:hAnsi="黑体" w:eastAsia="黑体"/>
          <w:bCs/>
        </w:rPr>
      </w:pPr>
      <w:r>
        <w:rPr>
          <w:rFonts w:hint="eastAsia" w:ascii="黑体" w:hAnsi="黑体" w:eastAsia="黑体"/>
          <w:bCs/>
        </w:rPr>
        <w:t>碳排放</w:t>
      </w:r>
      <w:r>
        <w:rPr>
          <w:rFonts w:ascii="黑体" w:hAnsi="黑体" w:eastAsia="黑体"/>
          <w:bCs/>
        </w:rPr>
        <w:t>carbon emission</w:t>
      </w:r>
    </w:p>
    <w:p w14:paraId="551DBF62">
      <w:pPr>
        <w:ind w:firstLine="420"/>
        <w:rPr>
          <w:rFonts w:ascii="黑体" w:hAnsi="黑体" w:eastAsia="黑体"/>
          <w:bCs/>
        </w:rPr>
      </w:pPr>
      <w:r>
        <w:rPr>
          <w:rFonts w:hint="eastAsia" w:ascii="黑体" w:hAnsi="黑体" w:eastAsia="黑体"/>
          <w:bCs/>
        </w:rPr>
        <w:t>温室气体排放 GHG emissions</w:t>
      </w:r>
    </w:p>
    <w:p w14:paraId="26084F7C">
      <w:pPr>
        <w:spacing w:line="276" w:lineRule="auto"/>
        <w:ind w:firstLine="420" w:firstLineChars="200"/>
        <w:jc w:val="left"/>
        <w:rPr>
          <w:rFonts w:ascii="宋体" w:hAnsi="宋体" w:eastAsia="宋体"/>
          <w:bCs/>
          <w:szCs w:val="21"/>
        </w:rPr>
      </w:pPr>
      <w:r>
        <w:rPr>
          <w:rFonts w:ascii="宋体" w:hAnsi="宋体" w:eastAsia="宋体" w:cs="Arial"/>
          <w:bCs/>
          <w:szCs w:val="21"/>
        </w:rPr>
        <w:t xml:space="preserve">在特定的时段内释放到大气中的温室气体总量（以质量单位计算）。 </w:t>
      </w:r>
    </w:p>
    <w:p w14:paraId="27DE0291">
      <w:pPr>
        <w:spacing w:line="276" w:lineRule="auto"/>
        <w:ind w:firstLine="360" w:firstLineChars="200"/>
        <w:jc w:val="left"/>
        <w:rPr>
          <w:rFonts w:ascii="宋体" w:hAnsi="宋体" w:eastAsia="宋体"/>
          <w:sz w:val="18"/>
          <w:szCs w:val="18"/>
        </w:rPr>
      </w:pPr>
      <w:r>
        <w:rPr>
          <w:rFonts w:ascii="黑体" w:hAnsi="黑体" w:eastAsia="黑体" w:cs="Arial"/>
          <w:sz w:val="18"/>
          <w:szCs w:val="18"/>
        </w:rPr>
        <w:t>注1：</w:t>
      </w:r>
      <w:r>
        <w:rPr>
          <w:rFonts w:ascii="宋体" w:hAnsi="宋体" w:eastAsia="宋体" w:cs="Arial"/>
          <w:sz w:val="18"/>
          <w:szCs w:val="18"/>
        </w:rPr>
        <w:t xml:space="preserve">温室气体排放包括以下来源的排放： </w:t>
      </w:r>
    </w:p>
    <w:p w14:paraId="0B154933">
      <w:pPr>
        <w:spacing w:line="276" w:lineRule="auto"/>
        <w:ind w:firstLine="360" w:firstLineChars="200"/>
        <w:jc w:val="left"/>
        <w:rPr>
          <w:rFonts w:ascii="宋体" w:hAnsi="宋体" w:eastAsia="宋体"/>
          <w:sz w:val="18"/>
          <w:szCs w:val="18"/>
        </w:rPr>
      </w:pPr>
      <w:r>
        <w:rPr>
          <w:rFonts w:ascii="宋体" w:hAnsi="宋体" w:eastAsia="宋体" w:cs="Arial"/>
          <w:sz w:val="18"/>
          <w:szCs w:val="18"/>
        </w:rPr>
        <w:t xml:space="preserve">——自然资源（例如植物的分解）； </w:t>
      </w:r>
    </w:p>
    <w:p w14:paraId="4AA5D8CF">
      <w:pPr>
        <w:spacing w:line="276" w:lineRule="auto"/>
        <w:ind w:firstLine="360" w:firstLineChars="200"/>
        <w:jc w:val="left"/>
        <w:rPr>
          <w:rFonts w:ascii="宋体" w:hAnsi="宋体" w:eastAsia="宋体"/>
          <w:sz w:val="18"/>
          <w:szCs w:val="18"/>
        </w:rPr>
      </w:pPr>
      <w:r>
        <w:rPr>
          <w:rFonts w:ascii="宋体" w:hAnsi="宋体" w:eastAsia="宋体" w:cs="Arial"/>
          <w:sz w:val="18"/>
          <w:szCs w:val="18"/>
        </w:rPr>
        <w:t xml:space="preserve">——化石燃料的燃烧； </w:t>
      </w:r>
    </w:p>
    <w:p w14:paraId="577B4847">
      <w:pPr>
        <w:spacing w:line="276" w:lineRule="auto"/>
        <w:ind w:firstLine="360" w:firstLineChars="200"/>
        <w:jc w:val="left"/>
        <w:rPr>
          <w:rFonts w:ascii="宋体" w:hAnsi="宋体" w:eastAsia="宋体"/>
          <w:sz w:val="18"/>
          <w:szCs w:val="18"/>
        </w:rPr>
      </w:pPr>
      <w:r>
        <w:rPr>
          <w:rFonts w:ascii="宋体" w:hAnsi="宋体" w:eastAsia="宋体" w:cs="Arial"/>
          <w:sz w:val="18"/>
          <w:szCs w:val="18"/>
        </w:rPr>
        <w:t xml:space="preserve">——其他过程，包括无意的释放（例如，由于加工设备或条件的缺陷造成的）。 </w:t>
      </w:r>
    </w:p>
    <w:p w14:paraId="2F90A5C8">
      <w:pPr>
        <w:spacing w:line="276" w:lineRule="auto"/>
        <w:ind w:left="420" w:leftChars="200"/>
        <w:jc w:val="left"/>
        <w:rPr>
          <w:rFonts w:ascii="宋体" w:hAnsi="宋体" w:eastAsia="宋体"/>
          <w:sz w:val="18"/>
          <w:szCs w:val="18"/>
        </w:rPr>
      </w:pPr>
      <w:r>
        <w:rPr>
          <w:rFonts w:ascii="黑体" w:hAnsi="黑体" w:eastAsia="黑体" w:cs="Arial"/>
          <w:sz w:val="18"/>
          <w:szCs w:val="18"/>
        </w:rPr>
        <w:t>注2：</w:t>
      </w:r>
      <w:r>
        <w:rPr>
          <w:rFonts w:ascii="宋体" w:hAnsi="宋体" w:eastAsia="宋体" w:cs="Arial"/>
          <w:sz w:val="18"/>
          <w:szCs w:val="18"/>
        </w:rPr>
        <w:t xml:space="preserve">对于不直接进入大气而是进入水体或土壤的温室气体排放，相关排放是指由于该排放而导致大气中气体浓度增加的量，根据水体或土壤中可能发生的化学和生物过程的科学证据。 </w:t>
      </w:r>
    </w:p>
    <w:p w14:paraId="5B34C943">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[来源：GB/T 32150—2015，3.6；ISO 14064-1:2018，3.1.5；ISO IWA 42:2022，3.2.2,有修改]</w:t>
      </w:r>
    </w:p>
    <w:p w14:paraId="4EC94844">
      <w:pPr>
        <w:rPr>
          <w:rFonts w:ascii="黑体" w:hAnsi="黑体" w:eastAsia="黑体"/>
        </w:rPr>
      </w:pPr>
      <w:r>
        <w:rPr>
          <w:rFonts w:hint="eastAsia" w:ascii="黑体" w:hAnsi="黑体" w:eastAsia="黑体"/>
        </w:rPr>
        <w:t>3.2.3</w:t>
      </w:r>
    </w:p>
    <w:p w14:paraId="131A06DB">
      <w:pPr>
        <w:spacing w:line="276" w:lineRule="auto"/>
        <w:ind w:firstLine="420" w:firstLineChars="200"/>
        <w:jc w:val="left"/>
        <w:rPr>
          <w:rFonts w:ascii="黑体" w:hAnsi="黑体" w:eastAsia="黑体" w:cs="Arial"/>
          <w:bCs/>
          <w:szCs w:val="21"/>
        </w:rPr>
      </w:pPr>
      <w:r>
        <w:rPr>
          <w:rFonts w:ascii="黑体" w:hAnsi="黑体" w:eastAsia="黑体" w:cs="Arial"/>
          <w:bCs/>
          <w:szCs w:val="21"/>
        </w:rPr>
        <w:t xml:space="preserve">碳足迹 carbon footprint </w:t>
      </w:r>
    </w:p>
    <w:p w14:paraId="6885A82B">
      <w:pPr>
        <w:spacing w:line="276" w:lineRule="auto"/>
        <w:ind w:firstLine="420" w:firstLineChars="200"/>
        <w:jc w:val="left"/>
        <w:rPr>
          <w:rFonts w:ascii="宋体" w:hAnsi="宋体" w:eastAsia="宋体"/>
          <w:szCs w:val="21"/>
        </w:rPr>
      </w:pPr>
      <w:r>
        <w:rPr>
          <w:rFonts w:ascii="宋体" w:hAnsi="宋体" w:eastAsia="宋体" w:cs="Arial"/>
          <w:szCs w:val="21"/>
        </w:rPr>
        <w:t>建筑边界内的温室气体排放（3.1.2）和温室气体清除（3.2.5）之和，以CO</w:t>
      </w:r>
      <w:r>
        <w:rPr>
          <w:rFonts w:hint="eastAsia" w:ascii="宋体" w:hAnsi="宋体" w:eastAsia="宋体" w:cs="Arial"/>
          <w:szCs w:val="21"/>
          <w:vertAlign w:val="subscript"/>
        </w:rPr>
        <w:t>2</w:t>
      </w:r>
      <w:r>
        <w:rPr>
          <w:rFonts w:ascii="宋体" w:hAnsi="宋体" w:eastAsia="宋体" w:cs="Arial"/>
          <w:szCs w:val="21"/>
        </w:rPr>
        <w:t xml:space="preserve">当量表示。 </w:t>
      </w:r>
    </w:p>
    <w:p w14:paraId="6A9164B1">
      <w:pPr>
        <w:spacing w:line="276" w:lineRule="auto"/>
        <w:ind w:firstLine="420" w:firstLineChars="200"/>
        <w:jc w:val="left"/>
        <w:rPr>
          <w:rFonts w:ascii="宋体" w:hAnsi="宋体" w:eastAsia="宋体"/>
          <w:szCs w:val="21"/>
        </w:rPr>
      </w:pPr>
      <w:r>
        <w:rPr>
          <w:rFonts w:ascii="宋体" w:hAnsi="宋体" w:eastAsia="宋体" w:cs="Arial"/>
          <w:szCs w:val="21"/>
        </w:rPr>
        <w:t>注：CO</w:t>
      </w:r>
      <w:r>
        <w:rPr>
          <w:rFonts w:hint="eastAsia" w:ascii="宋体" w:hAnsi="宋体" w:eastAsia="宋体" w:cs="Arial"/>
          <w:szCs w:val="21"/>
          <w:vertAlign w:val="subscript"/>
        </w:rPr>
        <w:t>2</w:t>
      </w:r>
      <w:r>
        <w:rPr>
          <w:rFonts w:ascii="宋体" w:hAnsi="宋体" w:eastAsia="宋体" w:cs="Arial"/>
          <w:szCs w:val="21"/>
        </w:rPr>
        <w:t>当量指在辐射强度上与某种温室气体质量相当的CO</w:t>
      </w:r>
      <w:r>
        <w:rPr>
          <w:rFonts w:hint="eastAsia" w:ascii="宋体" w:hAnsi="宋体" w:eastAsia="宋体" w:cs="Arial"/>
          <w:szCs w:val="21"/>
          <w:vertAlign w:val="subscript"/>
        </w:rPr>
        <w:t>2</w:t>
      </w:r>
      <w:r>
        <w:rPr>
          <w:rFonts w:ascii="宋体" w:hAnsi="宋体" w:eastAsia="宋体" w:cs="Arial"/>
          <w:szCs w:val="21"/>
        </w:rPr>
        <w:t xml:space="preserve">量。 </w:t>
      </w:r>
    </w:p>
    <w:p w14:paraId="66D0C9CB">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[来源：ISO 14068-1:2018，3.2.4，有修改] </w:t>
      </w:r>
    </w:p>
    <w:p w14:paraId="748C918D">
      <w:pPr>
        <w:rPr>
          <w:rFonts w:ascii="黑体" w:hAnsi="黑体" w:eastAsia="黑体"/>
        </w:rPr>
      </w:pPr>
      <w:r>
        <w:rPr>
          <w:rFonts w:hint="eastAsia" w:ascii="黑体" w:hAnsi="黑体" w:eastAsia="黑体"/>
        </w:rPr>
        <w:t>3.2.4</w:t>
      </w:r>
    </w:p>
    <w:p w14:paraId="72DA555F">
      <w:pPr>
        <w:spacing w:line="276" w:lineRule="auto"/>
        <w:ind w:firstLine="420" w:firstLineChars="200"/>
        <w:jc w:val="left"/>
        <w:rPr>
          <w:rFonts w:ascii="黑体" w:hAnsi="黑体" w:eastAsia="黑体" w:cs="Arial"/>
          <w:bCs/>
          <w:szCs w:val="21"/>
        </w:rPr>
      </w:pPr>
      <w:r>
        <w:rPr>
          <w:rFonts w:ascii="黑体" w:hAnsi="黑体" w:eastAsia="黑体" w:cs="Arial"/>
          <w:bCs/>
          <w:szCs w:val="21"/>
        </w:rPr>
        <w:t>范围 1 排放 scope 1 emission</w:t>
      </w:r>
    </w:p>
    <w:p w14:paraId="3D0A1B8B">
      <w:pPr>
        <w:spacing w:line="276" w:lineRule="auto"/>
        <w:ind w:firstLine="420" w:firstLineChars="200"/>
        <w:jc w:val="left"/>
        <w:rPr>
          <w:rFonts w:ascii="黑体" w:hAnsi="黑体" w:eastAsia="黑体" w:cs="Arial"/>
          <w:bCs/>
          <w:szCs w:val="21"/>
        </w:rPr>
      </w:pPr>
      <w:r>
        <w:rPr>
          <w:rFonts w:ascii="黑体" w:hAnsi="黑体" w:eastAsia="黑体" w:cs="Arial"/>
          <w:bCs/>
          <w:szCs w:val="21"/>
        </w:rPr>
        <w:t>直接温室气体排放 direct GHG emission</w:t>
      </w:r>
    </w:p>
    <w:p w14:paraId="47CF6B0D">
      <w:pPr>
        <w:spacing w:line="276" w:lineRule="auto"/>
        <w:ind w:firstLine="420" w:firstLineChars="200"/>
        <w:jc w:val="left"/>
        <w:rPr>
          <w:rFonts w:ascii="宋体" w:hAnsi="宋体" w:eastAsia="宋体"/>
          <w:szCs w:val="21"/>
        </w:rPr>
      </w:pPr>
      <w:r>
        <w:rPr>
          <w:rFonts w:ascii="宋体" w:hAnsi="宋体" w:eastAsia="宋体" w:cs="Arial"/>
          <w:szCs w:val="21"/>
        </w:rPr>
        <w:t>来自组织3.4.1拥有或直接控制的来源的温室气体排放。</w:t>
      </w:r>
    </w:p>
    <w:p w14:paraId="7B4ABD77">
      <w:pPr>
        <w:spacing w:line="276" w:lineRule="auto"/>
        <w:ind w:left="420" w:leftChars="200"/>
        <w:jc w:val="left"/>
        <w:rPr>
          <w:rFonts w:ascii="宋体" w:hAnsi="宋体" w:eastAsia="宋体"/>
          <w:sz w:val="18"/>
          <w:szCs w:val="18"/>
        </w:rPr>
      </w:pPr>
      <w:r>
        <w:rPr>
          <w:rFonts w:ascii="黑体" w:hAnsi="黑体" w:eastAsia="黑体" w:cs="Arial"/>
          <w:sz w:val="18"/>
          <w:szCs w:val="18"/>
        </w:rPr>
        <w:t>注 1：</w:t>
      </w:r>
      <w:r>
        <w:rPr>
          <w:rFonts w:ascii="宋体" w:hAnsi="宋体" w:eastAsia="宋体" w:cs="Arial"/>
          <w:sz w:val="18"/>
          <w:szCs w:val="18"/>
        </w:rPr>
        <w:t>本文件使用股权或控制权（领土、财务和运营）的概念来确定范围 1 排放责任。</w:t>
      </w:r>
    </w:p>
    <w:p w14:paraId="7D538612">
      <w:pPr>
        <w:spacing w:line="276" w:lineRule="auto"/>
        <w:ind w:left="420" w:leftChars="200"/>
        <w:jc w:val="left"/>
        <w:rPr>
          <w:rFonts w:ascii="宋体" w:hAnsi="宋体" w:eastAsia="宋体"/>
          <w:sz w:val="18"/>
          <w:szCs w:val="18"/>
        </w:rPr>
      </w:pPr>
      <w:r>
        <w:rPr>
          <w:rFonts w:ascii="黑体" w:hAnsi="黑体" w:eastAsia="黑体" w:cs="Arial"/>
          <w:sz w:val="18"/>
          <w:szCs w:val="18"/>
        </w:rPr>
        <w:t>注 2：</w:t>
      </w:r>
      <w:r>
        <w:rPr>
          <w:rFonts w:ascii="宋体" w:hAnsi="宋体" w:eastAsia="宋体" w:cs="Arial"/>
          <w:sz w:val="18"/>
          <w:szCs w:val="18"/>
        </w:rPr>
        <w:t>范围 1 排放不包括组织拥有或控制的不受管理或保持自然状态且未经修改的自然生态系统产生的排放。</w:t>
      </w:r>
    </w:p>
    <w:p w14:paraId="084B6CE2">
      <w:pPr>
        <w:spacing w:line="276" w:lineRule="auto"/>
        <w:ind w:left="420" w:leftChars="200"/>
        <w:jc w:val="left"/>
        <w:rPr>
          <w:rFonts w:ascii="宋体" w:hAnsi="宋体" w:eastAsia="宋体"/>
          <w:sz w:val="18"/>
          <w:szCs w:val="18"/>
        </w:rPr>
      </w:pPr>
      <w:r>
        <w:rPr>
          <w:rFonts w:ascii="黑体" w:hAnsi="黑体" w:eastAsia="黑体" w:cs="Arial"/>
          <w:sz w:val="18"/>
          <w:szCs w:val="18"/>
        </w:rPr>
        <w:t>注 3：</w:t>
      </w:r>
      <w:r>
        <w:rPr>
          <w:rFonts w:ascii="宋体" w:hAnsi="宋体" w:eastAsia="宋体" w:cs="Arial"/>
          <w:sz w:val="18"/>
          <w:szCs w:val="18"/>
        </w:rPr>
        <w:t>在领土层面运营的治理组织的范围 1 排放是指来自位于该领土边界内的源的温室气体排放。</w:t>
      </w:r>
    </w:p>
    <w:p w14:paraId="509CD5D2">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w:t>
      </w:r>
      <w:r>
        <w:rPr>
          <w:rFonts w:hint="eastAsia" w:ascii="Times New Roman" w:hAnsi="Times New Roman" w:eastAsia="宋体" w:cs="Times New Roman"/>
          <w:szCs w:val="21"/>
        </w:rPr>
        <w:t>：</w:t>
      </w:r>
      <w:r>
        <w:rPr>
          <w:rFonts w:ascii="Times New Roman" w:hAnsi="Times New Roman" w:eastAsia="宋体" w:cs="Times New Roman"/>
          <w:szCs w:val="21"/>
        </w:rPr>
        <w:t>ISO IWA 42:2022，3.2.3]</w:t>
      </w:r>
    </w:p>
    <w:p w14:paraId="450E0E82">
      <w:pPr>
        <w:rPr>
          <w:rFonts w:ascii="黑体" w:hAnsi="黑体" w:eastAsia="黑体"/>
        </w:rPr>
      </w:pPr>
      <w:r>
        <w:rPr>
          <w:rFonts w:hint="eastAsia" w:ascii="黑体" w:hAnsi="黑体" w:eastAsia="黑体"/>
        </w:rPr>
        <w:t>3.2.5</w:t>
      </w:r>
    </w:p>
    <w:p w14:paraId="2BC3AA37">
      <w:pPr>
        <w:spacing w:line="276" w:lineRule="auto"/>
        <w:ind w:firstLine="420" w:firstLineChars="200"/>
        <w:jc w:val="left"/>
        <w:rPr>
          <w:rFonts w:ascii="黑体" w:hAnsi="黑体" w:eastAsia="黑体" w:cs="Arial"/>
          <w:bCs/>
          <w:szCs w:val="21"/>
        </w:rPr>
      </w:pPr>
      <w:r>
        <w:rPr>
          <w:rFonts w:ascii="黑体" w:hAnsi="黑体" w:eastAsia="黑体" w:cs="Arial"/>
          <w:bCs/>
          <w:szCs w:val="21"/>
        </w:rPr>
        <w:t>范围 2 排放 scope 2 emission</w:t>
      </w:r>
    </w:p>
    <w:p w14:paraId="0C65BA0E">
      <w:pPr>
        <w:spacing w:line="276" w:lineRule="auto"/>
        <w:ind w:firstLine="420" w:firstLineChars="200"/>
        <w:jc w:val="left"/>
        <w:rPr>
          <w:rFonts w:ascii="黑体" w:hAnsi="黑体" w:eastAsia="黑体" w:cs="Arial"/>
          <w:bCs/>
          <w:szCs w:val="21"/>
        </w:rPr>
      </w:pPr>
      <w:r>
        <w:rPr>
          <w:rFonts w:ascii="黑体" w:hAnsi="黑体" w:eastAsia="黑体" w:cs="Arial"/>
          <w:bCs/>
          <w:szCs w:val="21"/>
        </w:rPr>
        <w:t>购买能源产生的间接温室气体排放 indirect GHG emission from purchased energy</w:t>
      </w:r>
    </w:p>
    <w:p w14:paraId="359F55CC">
      <w:pPr>
        <w:spacing w:line="276" w:lineRule="auto"/>
        <w:ind w:firstLine="420" w:firstLineChars="200"/>
        <w:jc w:val="left"/>
        <w:rPr>
          <w:rFonts w:ascii="宋体" w:hAnsi="宋体" w:eastAsia="宋体"/>
          <w:szCs w:val="21"/>
        </w:rPr>
      </w:pPr>
      <w:r>
        <w:rPr>
          <w:rFonts w:ascii="宋体" w:hAnsi="宋体" w:eastAsia="宋体" w:cs="Arial"/>
          <w:szCs w:val="21"/>
        </w:rPr>
        <w:t>组织消耗的购买的电力、热力、冷却或蒸汽的产生的温室气体排放。</w:t>
      </w:r>
    </w:p>
    <w:p w14:paraId="3CAB3B1E">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w:t>
      </w:r>
      <w:r>
        <w:rPr>
          <w:rFonts w:hint="eastAsia" w:ascii="Times New Roman" w:hAnsi="Times New Roman" w:eastAsia="宋体" w:cs="Times New Roman"/>
          <w:szCs w:val="21"/>
        </w:rPr>
        <w:t>：</w:t>
      </w:r>
      <w:r>
        <w:rPr>
          <w:rFonts w:ascii="Times New Roman" w:hAnsi="Times New Roman" w:eastAsia="宋体" w:cs="Times New Roman"/>
          <w:szCs w:val="21"/>
        </w:rPr>
        <w:t>ISO IWA 42:2022，定义 3.2.4]</w:t>
      </w:r>
    </w:p>
    <w:p w14:paraId="153E06E3">
      <w:pPr>
        <w:rPr>
          <w:rFonts w:ascii="黑体" w:hAnsi="黑体" w:eastAsia="黑体"/>
        </w:rPr>
      </w:pPr>
      <w:r>
        <w:rPr>
          <w:rFonts w:hint="eastAsia" w:ascii="黑体" w:hAnsi="黑体" w:eastAsia="黑体"/>
        </w:rPr>
        <w:t>3.2.6</w:t>
      </w:r>
    </w:p>
    <w:p w14:paraId="1007B6BB">
      <w:pPr>
        <w:spacing w:line="276" w:lineRule="auto"/>
        <w:ind w:firstLine="420" w:firstLineChars="200"/>
        <w:jc w:val="left"/>
        <w:rPr>
          <w:rFonts w:ascii="黑体" w:hAnsi="黑体" w:eastAsia="黑体" w:cs="Arial"/>
          <w:bCs/>
          <w:szCs w:val="21"/>
        </w:rPr>
      </w:pPr>
      <w:r>
        <w:rPr>
          <w:rFonts w:ascii="黑体" w:hAnsi="黑体" w:eastAsia="黑体" w:cs="Arial"/>
          <w:bCs/>
          <w:szCs w:val="21"/>
        </w:rPr>
        <w:t>范围 3 排放 scope 3 emission</w:t>
      </w:r>
    </w:p>
    <w:p w14:paraId="12F9ECB1">
      <w:pPr>
        <w:spacing w:line="276" w:lineRule="auto"/>
        <w:ind w:firstLine="420" w:firstLineChars="200"/>
        <w:jc w:val="left"/>
        <w:rPr>
          <w:rFonts w:ascii="黑体" w:hAnsi="黑体" w:eastAsia="黑体" w:cs="Arial"/>
          <w:bCs/>
          <w:szCs w:val="21"/>
        </w:rPr>
      </w:pPr>
      <w:r>
        <w:rPr>
          <w:rFonts w:ascii="黑体" w:hAnsi="黑体" w:eastAsia="黑体" w:cs="Arial"/>
          <w:bCs/>
          <w:szCs w:val="21"/>
        </w:rPr>
        <w:t>间接温室气体排放 indirect GHG emission</w:t>
      </w:r>
    </w:p>
    <w:p w14:paraId="18FA0417">
      <w:pPr>
        <w:spacing w:line="276" w:lineRule="auto"/>
        <w:ind w:firstLine="420" w:firstLineChars="200"/>
        <w:jc w:val="left"/>
        <w:rPr>
          <w:rFonts w:ascii="宋体" w:hAnsi="宋体" w:eastAsia="宋体"/>
          <w:szCs w:val="21"/>
        </w:rPr>
      </w:pPr>
      <w:r>
        <w:rPr>
          <w:rFonts w:ascii="宋体" w:hAnsi="宋体" w:eastAsia="宋体" w:cs="Arial"/>
          <w:szCs w:val="21"/>
        </w:rPr>
        <w:t>温室气体排放是组织活动的结果，但源自非组织拥有或直接控制的来源。</w:t>
      </w:r>
    </w:p>
    <w:p w14:paraId="4A7BAC43">
      <w:pPr>
        <w:spacing w:line="276" w:lineRule="auto"/>
        <w:ind w:firstLine="420"/>
        <w:jc w:val="left"/>
        <w:rPr>
          <w:rFonts w:ascii="黑体" w:hAnsi="黑体" w:eastAsia="黑体" w:cs="Arial"/>
          <w:sz w:val="18"/>
          <w:szCs w:val="18"/>
        </w:rPr>
      </w:pPr>
      <w:r>
        <w:rPr>
          <w:rFonts w:ascii="黑体" w:hAnsi="黑体" w:eastAsia="黑体" w:cs="Arial"/>
          <w:sz w:val="18"/>
          <w:szCs w:val="18"/>
        </w:rPr>
        <w:t>注：</w:t>
      </w:r>
      <w:r>
        <w:rPr>
          <w:rFonts w:ascii="宋体" w:hAnsi="宋体" w:eastAsia="宋体" w:cs="Arial"/>
          <w:sz w:val="18"/>
          <w:szCs w:val="18"/>
        </w:rPr>
        <w:t>范围 3 排放量包括范围 1 排放量或范围 2 排放量中未包括的所有可归属价值链温室气体排放量。</w:t>
      </w:r>
    </w:p>
    <w:p w14:paraId="058C723E">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w:t>
      </w:r>
      <w:r>
        <w:rPr>
          <w:rFonts w:hint="eastAsia" w:ascii="Times New Roman" w:hAnsi="Times New Roman" w:eastAsia="宋体" w:cs="Times New Roman"/>
          <w:szCs w:val="21"/>
        </w:rPr>
        <w:t>：</w:t>
      </w:r>
      <w:r>
        <w:rPr>
          <w:rFonts w:ascii="Times New Roman" w:hAnsi="Times New Roman" w:eastAsia="宋体" w:cs="Times New Roman"/>
          <w:szCs w:val="21"/>
        </w:rPr>
        <w:t>ISO IWA 42:2022，定义 3.2.5]</w:t>
      </w:r>
    </w:p>
    <w:p w14:paraId="6BFC35A7">
      <w:pPr>
        <w:rPr>
          <w:rFonts w:ascii="黑体" w:hAnsi="黑体" w:eastAsia="黑体"/>
        </w:rPr>
      </w:pPr>
      <w:r>
        <w:rPr>
          <w:rFonts w:hint="eastAsia" w:ascii="黑体" w:hAnsi="黑体" w:eastAsia="黑体"/>
        </w:rPr>
        <w:t>3.2.7</w:t>
      </w:r>
    </w:p>
    <w:p w14:paraId="78075736">
      <w:pPr>
        <w:spacing w:line="276" w:lineRule="auto"/>
        <w:ind w:firstLine="420" w:firstLineChars="200"/>
        <w:jc w:val="left"/>
        <w:rPr>
          <w:rFonts w:ascii="黑体" w:hAnsi="黑体" w:eastAsia="黑体" w:cs="Arial"/>
          <w:bCs/>
          <w:szCs w:val="21"/>
        </w:rPr>
      </w:pPr>
      <w:r>
        <w:rPr>
          <w:rFonts w:ascii="黑体" w:hAnsi="黑体" w:eastAsia="黑体" w:cs="Arial"/>
          <w:bCs/>
          <w:szCs w:val="21"/>
        </w:rPr>
        <w:t xml:space="preserve">隐含碳排放embodied carbon emissions </w:t>
      </w:r>
    </w:p>
    <w:p w14:paraId="4CA9B6A4">
      <w:pPr>
        <w:spacing w:line="276" w:lineRule="auto"/>
        <w:ind w:firstLine="420" w:firstLineChars="200"/>
        <w:jc w:val="left"/>
        <w:rPr>
          <w:rFonts w:ascii="宋体" w:hAnsi="宋体" w:eastAsia="宋体"/>
          <w:szCs w:val="21"/>
        </w:rPr>
      </w:pPr>
      <w:r>
        <w:rPr>
          <w:rFonts w:ascii="宋体" w:hAnsi="宋体" w:eastAsia="宋体" w:cs="Arial"/>
          <w:szCs w:val="21"/>
        </w:rPr>
        <w:t>建筑使用的建材生产与运输、建筑建造、建筑拆除过程中产生的碳排放。</w:t>
      </w:r>
    </w:p>
    <w:p w14:paraId="25D08D84">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w:t>
      </w:r>
      <w:r>
        <w:rPr>
          <w:rFonts w:hint="eastAsia" w:ascii="Times New Roman" w:hAnsi="Times New Roman" w:eastAsia="宋体" w:cs="Times New Roman"/>
          <w:szCs w:val="21"/>
        </w:rPr>
        <w:t>：</w:t>
      </w:r>
      <w:r>
        <w:rPr>
          <w:rFonts w:ascii="Times New Roman" w:hAnsi="Times New Roman" w:eastAsia="宋体" w:cs="Times New Roman"/>
          <w:szCs w:val="21"/>
        </w:rPr>
        <w:t>零碳建筑技术标准（征求意见稿），2.0.17]</w:t>
      </w:r>
    </w:p>
    <w:p w14:paraId="49F059A9">
      <w:pPr>
        <w:rPr>
          <w:rFonts w:ascii="黑体" w:hAnsi="黑体" w:eastAsia="黑体"/>
        </w:rPr>
      </w:pPr>
    </w:p>
    <w:p w14:paraId="1C1E8599">
      <w:pPr>
        <w:rPr>
          <w:rFonts w:ascii="黑体" w:hAnsi="黑体" w:eastAsia="黑体"/>
        </w:rPr>
      </w:pPr>
      <w:r>
        <w:rPr>
          <w:rFonts w:hint="eastAsia" w:ascii="黑体" w:hAnsi="黑体" w:eastAsia="黑体"/>
        </w:rPr>
        <w:t>3.2.8</w:t>
      </w:r>
    </w:p>
    <w:p w14:paraId="4CD1D5EC">
      <w:pPr>
        <w:spacing w:line="276" w:lineRule="auto"/>
        <w:ind w:firstLine="420" w:firstLineChars="200"/>
        <w:jc w:val="left"/>
        <w:rPr>
          <w:rFonts w:ascii="黑体" w:hAnsi="黑体" w:eastAsia="黑体" w:cs="Arial"/>
          <w:bCs/>
          <w:szCs w:val="21"/>
        </w:rPr>
      </w:pPr>
      <w:r>
        <w:rPr>
          <w:rFonts w:ascii="黑体" w:hAnsi="黑体" w:eastAsia="黑体" w:cs="Arial"/>
          <w:bCs/>
          <w:szCs w:val="21"/>
        </w:rPr>
        <w:t>未消除的温室气体排放（剩余排放）unabated GHG emission</w:t>
      </w:r>
    </w:p>
    <w:p w14:paraId="290897D3">
      <w:pPr>
        <w:spacing w:line="276" w:lineRule="auto"/>
        <w:ind w:firstLine="420" w:firstLineChars="200"/>
        <w:jc w:val="left"/>
        <w:rPr>
          <w:rFonts w:ascii="宋体" w:hAnsi="宋体" w:eastAsia="宋体"/>
          <w:szCs w:val="21"/>
        </w:rPr>
      </w:pPr>
      <w:r>
        <w:rPr>
          <w:rFonts w:ascii="宋体" w:hAnsi="宋体" w:eastAsia="宋体" w:cs="Arial"/>
          <w:szCs w:val="21"/>
        </w:rPr>
        <w:t>在实施温室气体减排后，描述对象边界内仍保留的温室气体排放。</w:t>
      </w:r>
    </w:p>
    <w:p w14:paraId="00745F2E">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[来源：ISO 14068-1:2023，3.1.4]</w:t>
      </w:r>
    </w:p>
    <w:p w14:paraId="28B46A92">
      <w:pPr>
        <w:rPr>
          <w:rFonts w:ascii="黑体" w:hAnsi="黑体" w:eastAsia="黑体"/>
        </w:rPr>
      </w:pPr>
      <w:r>
        <w:rPr>
          <w:rFonts w:hint="eastAsia" w:ascii="黑体" w:hAnsi="黑体" w:eastAsia="黑体"/>
        </w:rPr>
        <w:t>3.2.9</w:t>
      </w:r>
    </w:p>
    <w:p w14:paraId="4C25BC62">
      <w:pPr>
        <w:spacing w:line="276" w:lineRule="auto"/>
        <w:ind w:firstLine="420" w:firstLineChars="200"/>
        <w:jc w:val="left"/>
        <w:rPr>
          <w:rFonts w:ascii="黑体" w:hAnsi="黑体" w:eastAsia="黑体" w:cs="Arial"/>
          <w:bCs/>
          <w:szCs w:val="21"/>
        </w:rPr>
      </w:pPr>
      <w:r>
        <w:rPr>
          <w:rFonts w:ascii="黑体" w:hAnsi="黑体" w:eastAsia="黑体" w:cs="Arial"/>
          <w:bCs/>
          <w:szCs w:val="21"/>
        </w:rPr>
        <w:t>残留温室气体排放（残留排放）residual GHG emission</w:t>
      </w:r>
    </w:p>
    <w:p w14:paraId="5EB8EC71">
      <w:pPr>
        <w:spacing w:line="276" w:lineRule="auto"/>
        <w:ind w:firstLine="420" w:firstLineChars="200"/>
        <w:jc w:val="left"/>
        <w:rPr>
          <w:rFonts w:ascii="宋体" w:hAnsi="宋体" w:eastAsia="宋体"/>
          <w:szCs w:val="21"/>
        </w:rPr>
      </w:pPr>
      <w:r>
        <w:rPr>
          <w:rFonts w:ascii="宋体" w:hAnsi="宋体" w:eastAsia="宋体" w:cs="Arial"/>
          <w:szCs w:val="21"/>
        </w:rPr>
        <w:t>在实施所有技术上和经济上可行的温室气体减排后，仍保留的温室气体排放。</w:t>
      </w:r>
    </w:p>
    <w:p w14:paraId="77539A04">
      <w:pPr>
        <w:spacing w:line="276" w:lineRule="auto"/>
        <w:ind w:left="420" w:leftChars="200"/>
        <w:jc w:val="left"/>
        <w:rPr>
          <w:rFonts w:ascii="宋体" w:hAnsi="宋体" w:eastAsia="宋体"/>
          <w:sz w:val="18"/>
          <w:szCs w:val="18"/>
        </w:rPr>
      </w:pPr>
      <w:r>
        <w:rPr>
          <w:rFonts w:ascii="黑体" w:hAnsi="黑体" w:eastAsia="黑体" w:cs="Arial"/>
          <w:sz w:val="18"/>
          <w:szCs w:val="18"/>
        </w:rPr>
        <w:t>注：</w:t>
      </w:r>
      <w:r>
        <w:rPr>
          <w:rFonts w:ascii="宋体" w:hAnsi="宋体" w:eastAsia="宋体" w:cs="Arial"/>
          <w:sz w:val="18"/>
          <w:szCs w:val="18"/>
        </w:rPr>
        <w:t>残留排放是剩余排放中可以被认定为难以通过技术和经济上可行的方法减少的排放。典型的残留排放可能包括部分行业加工过程的难以避免的温室气体排放，或设施处于非正常紧急状态时的排放等。在认定残留排放时，应充分当时可得的减</w:t>
      </w:r>
      <w:r>
        <w:rPr>
          <w:rFonts w:hint="eastAsia" w:ascii="宋体" w:hAnsi="宋体" w:eastAsia="宋体" w:cs="Arial"/>
          <w:sz w:val="18"/>
          <w:szCs w:val="18"/>
        </w:rPr>
        <w:t>少</w:t>
      </w:r>
      <w:r>
        <w:rPr>
          <w:rFonts w:ascii="宋体" w:hAnsi="宋体" w:eastAsia="宋体" w:cs="Arial"/>
          <w:sz w:val="18"/>
          <w:szCs w:val="18"/>
        </w:rPr>
        <w:t>排放的方法或举措，只有在证明方法受限于必要基础设施不足，或技术或财务可行性的不足的情况下，可以被认为不可行。</w:t>
      </w:r>
    </w:p>
    <w:p w14:paraId="5D488C07">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[来源：ISO 14068-1:2023，3.1.5和附件A]</w:t>
      </w:r>
    </w:p>
    <w:p w14:paraId="6416E14D">
      <w:pPr>
        <w:rPr>
          <w:rFonts w:ascii="黑体" w:hAnsi="黑体" w:eastAsia="黑体"/>
        </w:rPr>
      </w:pPr>
      <w:r>
        <w:rPr>
          <w:rFonts w:hint="eastAsia" w:ascii="黑体" w:hAnsi="黑体" w:eastAsia="黑体"/>
        </w:rPr>
        <w:t>3.2.10</w:t>
      </w:r>
    </w:p>
    <w:p w14:paraId="4330DD0E">
      <w:pPr>
        <w:spacing w:line="276" w:lineRule="auto"/>
        <w:ind w:firstLine="420" w:firstLineChars="200"/>
        <w:jc w:val="left"/>
        <w:rPr>
          <w:rFonts w:ascii="黑体" w:hAnsi="黑体" w:eastAsia="黑体" w:cs="Arial"/>
          <w:bCs/>
          <w:szCs w:val="21"/>
        </w:rPr>
      </w:pPr>
      <w:r>
        <w:rPr>
          <w:rFonts w:ascii="黑体" w:hAnsi="黑体" w:eastAsia="黑体" w:cs="Arial"/>
          <w:bCs/>
          <w:szCs w:val="21"/>
        </w:rPr>
        <w:t>排放因子 emission factor</w:t>
      </w:r>
    </w:p>
    <w:p w14:paraId="449D4D3C">
      <w:pPr>
        <w:spacing w:line="276" w:lineRule="auto"/>
        <w:ind w:firstLine="420" w:firstLineChars="200"/>
        <w:jc w:val="left"/>
        <w:rPr>
          <w:rFonts w:ascii="宋体" w:hAnsi="宋体" w:eastAsia="宋体"/>
          <w:szCs w:val="21"/>
        </w:rPr>
      </w:pPr>
      <w:r>
        <w:rPr>
          <w:rFonts w:ascii="宋体" w:hAnsi="宋体" w:eastAsia="宋体" w:cs="Arial"/>
          <w:color w:val="1F2329"/>
          <w:szCs w:val="21"/>
        </w:rPr>
        <w:t>表征单位产生或消费活动量的温室气体排放的系数。</w:t>
      </w:r>
    </w:p>
    <w:p w14:paraId="61A8C6E5">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[ISO 14064-1:2018，定义 3.2.13]</w:t>
      </w:r>
    </w:p>
    <w:p w14:paraId="5F973223">
      <w:pPr>
        <w:rPr>
          <w:rFonts w:ascii="黑体" w:hAnsi="黑体" w:eastAsia="黑体"/>
        </w:rPr>
      </w:pPr>
      <w:r>
        <w:rPr>
          <w:rFonts w:hint="eastAsia" w:ascii="黑体" w:hAnsi="黑体" w:eastAsia="黑体"/>
        </w:rPr>
        <w:t>3.2.11</w:t>
      </w:r>
    </w:p>
    <w:p w14:paraId="22E31FB3">
      <w:pPr>
        <w:spacing w:line="276" w:lineRule="auto"/>
        <w:ind w:firstLine="420" w:firstLineChars="200"/>
        <w:jc w:val="left"/>
        <w:rPr>
          <w:rFonts w:ascii="黑体" w:hAnsi="黑体" w:eastAsia="黑体" w:cs="Arial"/>
          <w:bCs/>
          <w:szCs w:val="21"/>
        </w:rPr>
      </w:pPr>
      <w:r>
        <w:rPr>
          <w:rFonts w:ascii="黑体" w:hAnsi="黑体" w:eastAsia="黑体" w:cs="Arial"/>
          <w:bCs/>
          <w:szCs w:val="21"/>
        </w:rPr>
        <w:t xml:space="preserve">绿色电力（绿电）green electricity </w:t>
      </w:r>
    </w:p>
    <w:p w14:paraId="7E43EE11">
      <w:pPr>
        <w:spacing w:line="276" w:lineRule="auto"/>
        <w:ind w:firstLine="420" w:firstLineChars="200"/>
        <w:jc w:val="left"/>
        <w:rPr>
          <w:rFonts w:ascii="宋体" w:hAnsi="宋体" w:eastAsia="宋体"/>
          <w:szCs w:val="21"/>
        </w:rPr>
      </w:pPr>
      <w:r>
        <w:rPr>
          <w:rFonts w:ascii="宋体" w:hAnsi="宋体" w:eastAsia="宋体" w:cs="Arial"/>
          <w:szCs w:val="21"/>
        </w:rPr>
        <w:t xml:space="preserve">绿色电力是指符合国家有关政策定义的可再生能源电力，包括风电（含分散式风电和海上风电）、太阳能发电（含分布式光伏发电和光热发电）、常规水电、生物质发电、地热能发电、海洋能发电等已建档立卡的可再生能源发电项目所生产的全部电量。 </w:t>
      </w:r>
    </w:p>
    <w:p w14:paraId="0F10EC6D">
      <w:pPr>
        <w:spacing w:line="276" w:lineRule="auto"/>
        <w:ind w:firstLine="360" w:firstLineChars="200"/>
        <w:jc w:val="left"/>
        <w:rPr>
          <w:rFonts w:ascii="宋体" w:hAnsi="宋体" w:eastAsia="宋体"/>
          <w:sz w:val="18"/>
          <w:szCs w:val="18"/>
        </w:rPr>
      </w:pPr>
      <w:r>
        <w:rPr>
          <w:rFonts w:ascii="黑体" w:hAnsi="黑体" w:eastAsia="黑体" w:cs="Arial"/>
          <w:sz w:val="18"/>
          <w:szCs w:val="18"/>
        </w:rPr>
        <w:t>注：</w:t>
      </w:r>
      <w:r>
        <w:rPr>
          <w:rFonts w:ascii="宋体" w:hAnsi="宋体" w:eastAsia="宋体" w:cs="Arial"/>
          <w:sz w:val="18"/>
          <w:szCs w:val="18"/>
        </w:rPr>
        <w:t xml:space="preserve">绿电类别应遵循最新政策文件规定。 </w:t>
      </w:r>
    </w:p>
    <w:p w14:paraId="174ADAF5">
      <w:pPr>
        <w:spacing w:line="276" w:lineRule="auto"/>
        <w:ind w:firstLine="360"/>
        <w:jc w:val="left"/>
        <w:rPr>
          <w:rFonts w:ascii="Times New Roman" w:hAnsi="Times New Roman" w:eastAsia="宋体" w:cs="Times New Roman"/>
          <w:szCs w:val="21"/>
        </w:rPr>
      </w:pPr>
      <w:r>
        <w:rPr>
          <w:rFonts w:ascii="Times New Roman" w:hAnsi="Times New Roman" w:eastAsia="宋体" w:cs="Times New Roman"/>
          <w:szCs w:val="21"/>
        </w:rPr>
        <w:t xml:space="preserve">[来源：电力中长期交易基本规则——绿色电力交易专章（征求意见稿）] </w:t>
      </w:r>
    </w:p>
    <w:p w14:paraId="2DBE95D0">
      <w:pPr>
        <w:pStyle w:val="3"/>
        <w:numPr>
          <w:ilvl w:val="1"/>
          <w:numId w:val="1"/>
        </w:numPr>
        <w:spacing w:before="240" w:beforeLines="100" w:after="120"/>
        <w:rPr>
          <w:rFonts w:ascii="黑体" w:hAnsi="黑体" w:eastAsia="黑体"/>
          <w:b w:val="0"/>
          <w:sz w:val="21"/>
          <w:szCs w:val="21"/>
          <w14:ligatures w14:val="none"/>
        </w:rPr>
      </w:pPr>
      <w:bookmarkStart w:id="14" w:name="heading_7"/>
      <w:bookmarkStart w:id="15" w:name="_Toc167487081"/>
      <w:r>
        <w:rPr>
          <w:rFonts w:ascii="黑体" w:hAnsi="黑体" w:eastAsia="黑体"/>
          <w:b w:val="0"/>
          <w:sz w:val="21"/>
          <w:szCs w:val="21"/>
          <w14:ligatures w14:val="none"/>
        </w:rPr>
        <w:t>与气候行动相关的术语</w:t>
      </w:r>
      <w:bookmarkEnd w:id="14"/>
      <w:bookmarkEnd w:id="15"/>
    </w:p>
    <w:p w14:paraId="12260DAB">
      <w:pPr>
        <w:spacing w:line="276" w:lineRule="auto"/>
        <w:jc w:val="left"/>
        <w:rPr>
          <w:rFonts w:ascii="黑体" w:hAnsi="黑体" w:eastAsia="黑体" w:cs="Arial"/>
          <w:bCs/>
          <w:szCs w:val="21"/>
        </w:rPr>
      </w:pPr>
      <w:r>
        <w:rPr>
          <w:rFonts w:hint="eastAsia" w:ascii="黑体" w:hAnsi="黑体" w:eastAsia="黑体" w:cs="Arial"/>
          <w:bCs/>
          <w:szCs w:val="21"/>
        </w:rPr>
        <w:t>3.3.1</w:t>
      </w:r>
    </w:p>
    <w:p w14:paraId="136DE812">
      <w:pPr>
        <w:ind w:firstLine="420"/>
        <w:rPr>
          <w:rFonts w:ascii="黑体" w:hAnsi="黑体" w:eastAsia="黑体"/>
          <w:bCs/>
        </w:rPr>
      </w:pPr>
      <w:r>
        <w:rPr>
          <w:rFonts w:hint="eastAsia" w:ascii="黑体" w:hAnsi="黑体" w:eastAsia="黑体"/>
          <w:bCs/>
        </w:rPr>
        <w:t>温室气体净零排放</w:t>
      </w:r>
      <w:r>
        <w:rPr>
          <w:rFonts w:ascii="黑体" w:hAnsi="黑体" w:eastAsia="黑体"/>
          <w:bCs/>
        </w:rPr>
        <w:t xml:space="preserve"> net zero GHG emission</w:t>
      </w:r>
    </w:p>
    <w:p w14:paraId="7A6CBB20">
      <w:pPr>
        <w:ind w:firstLine="420"/>
        <w:rPr>
          <w:rFonts w:ascii="黑体" w:hAnsi="黑体" w:eastAsia="黑体"/>
          <w:bCs/>
        </w:rPr>
      </w:pPr>
      <w:r>
        <w:rPr>
          <w:rFonts w:hint="eastAsia" w:ascii="黑体" w:hAnsi="黑体" w:eastAsia="黑体"/>
          <w:bCs/>
        </w:rPr>
        <w:t>净零碳排放（净零排放，或净零）</w:t>
      </w:r>
      <w:r>
        <w:rPr>
          <w:rFonts w:ascii="黑体" w:hAnsi="黑体" w:eastAsia="黑体"/>
          <w:bCs/>
        </w:rPr>
        <w:t xml:space="preserve">net zero </w:t>
      </w:r>
      <w:r>
        <w:rPr>
          <w:rFonts w:hint="eastAsia" w:ascii="黑体" w:hAnsi="黑体" w:eastAsia="黑体"/>
          <w:bCs/>
        </w:rPr>
        <w:t>carbon</w:t>
      </w:r>
      <w:r>
        <w:rPr>
          <w:rFonts w:ascii="黑体" w:hAnsi="黑体" w:eastAsia="黑体"/>
          <w:bCs/>
        </w:rPr>
        <w:t xml:space="preserve"> </w:t>
      </w:r>
      <w:r>
        <w:rPr>
          <w:rFonts w:hint="eastAsia" w:ascii="黑体" w:hAnsi="黑体" w:eastAsia="黑体"/>
          <w:bCs/>
        </w:rPr>
        <w:t>emission</w:t>
      </w:r>
      <w:r>
        <w:rPr>
          <w:rFonts w:ascii="黑体" w:hAnsi="黑体" w:eastAsia="黑体"/>
          <w:bCs/>
        </w:rPr>
        <w:t xml:space="preserve"> </w:t>
      </w:r>
      <w:r>
        <w:rPr>
          <w:rFonts w:hint="eastAsia" w:ascii="黑体" w:hAnsi="黑体" w:eastAsia="黑体"/>
          <w:bCs/>
        </w:rPr>
        <w:t xml:space="preserve"> (net zero)</w:t>
      </w:r>
    </w:p>
    <w:p w14:paraId="4A4E682E">
      <w:pPr>
        <w:spacing w:line="276" w:lineRule="auto"/>
        <w:ind w:firstLine="420" w:firstLineChars="200"/>
        <w:jc w:val="left"/>
        <w:rPr>
          <w:rFonts w:ascii="宋体" w:hAnsi="宋体" w:eastAsia="宋体" w:cs="Arial"/>
          <w:szCs w:val="21"/>
        </w:rPr>
      </w:pPr>
      <w:r>
        <w:rPr>
          <w:rFonts w:ascii="宋体" w:hAnsi="宋体" w:eastAsia="宋体" w:cs="Arial"/>
          <w:szCs w:val="21"/>
        </w:rPr>
        <w:t xml:space="preserve">在特定时期、特定范围内人为引起的温室气体残留排放量可由人为主导的清除量平衡的状态。 </w:t>
      </w:r>
    </w:p>
    <w:p w14:paraId="3CFF7FF5">
      <w:pPr>
        <w:spacing w:line="276" w:lineRule="auto"/>
        <w:ind w:left="420" w:leftChars="200"/>
        <w:jc w:val="left"/>
        <w:rPr>
          <w:rFonts w:ascii="宋体" w:hAnsi="宋体" w:eastAsia="宋体" w:cs="Arial"/>
          <w:sz w:val="18"/>
          <w:szCs w:val="18"/>
        </w:rPr>
      </w:pPr>
      <w:r>
        <w:rPr>
          <w:rFonts w:ascii="黑体" w:hAnsi="黑体" w:eastAsia="黑体" w:cs="Arial"/>
          <w:sz w:val="18"/>
          <w:szCs w:val="18"/>
        </w:rPr>
        <w:t>注 1：</w:t>
      </w:r>
      <w:r>
        <w:rPr>
          <w:rFonts w:ascii="宋体" w:hAnsi="宋体" w:eastAsia="宋体" w:cs="Arial"/>
          <w:sz w:val="18"/>
          <w:szCs w:val="18"/>
        </w:rPr>
        <w:t xml:space="preserve">人类主导的清除包括生态系统恢复、直接空气碳捕集和封存、再造林和造林、增强风化、生物炭和其他有效方法。 </w:t>
      </w:r>
    </w:p>
    <w:p w14:paraId="30DCAC47">
      <w:pPr>
        <w:spacing w:line="276" w:lineRule="auto"/>
        <w:ind w:left="420" w:leftChars="200"/>
        <w:jc w:val="left"/>
        <w:rPr>
          <w:rFonts w:ascii="宋体" w:hAnsi="宋体" w:eastAsia="宋体" w:cs="Arial"/>
          <w:sz w:val="18"/>
          <w:szCs w:val="18"/>
        </w:rPr>
      </w:pPr>
      <w:r>
        <w:rPr>
          <w:rFonts w:ascii="黑体" w:hAnsi="黑体" w:eastAsia="黑体" w:cs="Arial"/>
          <w:sz w:val="18"/>
          <w:szCs w:val="18"/>
        </w:rPr>
        <w:t>注 2：</w:t>
      </w:r>
      <w:r>
        <w:rPr>
          <w:rFonts w:ascii="宋体" w:hAnsi="宋体" w:eastAsia="宋体" w:cs="Arial"/>
          <w:sz w:val="18"/>
          <w:szCs w:val="18"/>
        </w:rPr>
        <w:t xml:space="preserve">“人为引起”和“人为主导”这两个词旨在被理解为IPCC定义中“人为引起”的同义词。 </w:t>
      </w:r>
    </w:p>
    <w:p w14:paraId="1CC9E434">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[来源：ISO IWA 42:2022，3.1.1]</w:t>
      </w:r>
    </w:p>
    <w:p w14:paraId="0AC8C767">
      <w:pPr>
        <w:spacing w:line="276" w:lineRule="auto"/>
        <w:jc w:val="left"/>
        <w:rPr>
          <w:rFonts w:ascii="黑体" w:hAnsi="黑体" w:eastAsia="黑体" w:cs="Arial"/>
          <w:bCs/>
          <w:szCs w:val="21"/>
        </w:rPr>
      </w:pPr>
      <w:r>
        <w:rPr>
          <w:rFonts w:hint="eastAsia" w:ascii="黑体" w:hAnsi="黑体" w:eastAsia="黑体" w:cs="Arial"/>
          <w:bCs/>
          <w:szCs w:val="21"/>
        </w:rPr>
        <w:t>3.3.2</w:t>
      </w:r>
    </w:p>
    <w:p w14:paraId="08447284">
      <w:pPr>
        <w:spacing w:line="276" w:lineRule="auto"/>
        <w:ind w:firstLine="420" w:firstLineChars="200"/>
        <w:jc w:val="left"/>
        <w:rPr>
          <w:rFonts w:ascii="黑体" w:hAnsi="黑体" w:eastAsia="黑体" w:cs="Arial"/>
          <w:bCs/>
          <w:szCs w:val="21"/>
        </w:rPr>
      </w:pPr>
      <w:r>
        <w:rPr>
          <w:rFonts w:ascii="黑体" w:hAnsi="黑体" w:eastAsia="黑体" w:cs="Arial"/>
          <w:bCs/>
          <w:szCs w:val="21"/>
        </w:rPr>
        <w:t xml:space="preserve">碳中和 carbon neutrality </w:t>
      </w:r>
    </w:p>
    <w:p w14:paraId="44E9DA57">
      <w:pPr>
        <w:spacing w:line="276" w:lineRule="auto"/>
        <w:ind w:firstLine="420" w:firstLineChars="200"/>
        <w:jc w:val="left"/>
        <w:rPr>
          <w:rFonts w:ascii="宋体" w:hAnsi="宋体" w:eastAsia="宋体" w:cs="Arial"/>
          <w:szCs w:val="21"/>
        </w:rPr>
      </w:pPr>
      <w:r>
        <w:rPr>
          <w:rFonts w:ascii="宋体" w:hAnsi="宋体" w:eastAsia="宋体" w:cs="Arial"/>
          <w:szCs w:val="21"/>
        </w:rPr>
        <w:t xml:space="preserve">在特定时期内，由于温室气体排放减少或温室气体清除增强，碳足迹减少，并且如果大于零，则通过抵消来平衡的状态。 </w:t>
      </w:r>
    </w:p>
    <w:p w14:paraId="5A6A11C6">
      <w:pPr>
        <w:spacing w:line="276" w:lineRule="auto"/>
        <w:ind w:left="420" w:leftChars="200"/>
        <w:jc w:val="left"/>
        <w:rPr>
          <w:rFonts w:ascii="宋体" w:hAnsi="宋体" w:eastAsia="宋体" w:cs="Arial"/>
          <w:sz w:val="18"/>
          <w:szCs w:val="18"/>
        </w:rPr>
      </w:pPr>
      <w:r>
        <w:rPr>
          <w:rFonts w:ascii="黑体" w:hAnsi="黑体" w:eastAsia="黑体" w:cs="Arial"/>
          <w:sz w:val="18"/>
          <w:szCs w:val="18"/>
        </w:rPr>
        <w:t>注1：</w:t>
      </w:r>
      <w:r>
        <w:rPr>
          <w:rFonts w:ascii="宋体" w:hAnsi="宋体" w:eastAsia="宋体" w:cs="Arial"/>
          <w:sz w:val="18"/>
          <w:szCs w:val="18"/>
        </w:rPr>
        <w:t xml:space="preserve">该条件的实现并不限于主体边界内的温室气体排放和温室气体清除，还可以包括使用碳抵消等平衡措施，只要这些措施满足特定标准。 </w:t>
      </w:r>
    </w:p>
    <w:p w14:paraId="3238AE6D">
      <w:pPr>
        <w:spacing w:line="276" w:lineRule="auto"/>
        <w:ind w:left="420" w:leftChars="200"/>
        <w:jc w:val="left"/>
        <w:rPr>
          <w:rFonts w:ascii="宋体" w:hAnsi="宋体" w:eastAsia="宋体" w:cs="Arial"/>
          <w:sz w:val="18"/>
          <w:szCs w:val="18"/>
        </w:rPr>
      </w:pPr>
      <w:r>
        <w:rPr>
          <w:rFonts w:ascii="黑体" w:hAnsi="黑体" w:eastAsia="黑体" w:cs="Arial"/>
          <w:sz w:val="18"/>
          <w:szCs w:val="18"/>
        </w:rPr>
        <w:t>注2：</w:t>
      </w:r>
      <w:r>
        <w:rPr>
          <w:rFonts w:ascii="宋体" w:hAnsi="宋体" w:eastAsia="宋体" w:cs="Arial"/>
          <w:sz w:val="18"/>
          <w:szCs w:val="18"/>
        </w:rPr>
        <w:t xml:space="preserve">碳补偿是在根据碳中和管理计划进行温室气体减排和温室气体清除增强之后使用的。 </w:t>
      </w:r>
    </w:p>
    <w:p w14:paraId="438848BD">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[来源：ISO 14068-1:2018，3.1.1] </w:t>
      </w:r>
    </w:p>
    <w:p w14:paraId="47E8F76E">
      <w:pPr>
        <w:spacing w:line="276" w:lineRule="auto"/>
        <w:jc w:val="left"/>
        <w:rPr>
          <w:rFonts w:ascii="黑体" w:hAnsi="黑体" w:eastAsia="黑体" w:cs="Arial"/>
          <w:bCs/>
          <w:szCs w:val="21"/>
        </w:rPr>
      </w:pPr>
      <w:r>
        <w:rPr>
          <w:rFonts w:hint="eastAsia" w:ascii="黑体" w:hAnsi="黑体" w:eastAsia="黑体" w:cs="Arial"/>
          <w:bCs/>
          <w:szCs w:val="21"/>
        </w:rPr>
        <w:t>3.3.3</w:t>
      </w:r>
    </w:p>
    <w:p w14:paraId="5E5B5CE4">
      <w:pPr>
        <w:spacing w:line="276" w:lineRule="auto"/>
        <w:ind w:firstLine="420" w:firstLineChars="200"/>
        <w:jc w:val="left"/>
        <w:rPr>
          <w:rFonts w:ascii="黑体" w:hAnsi="黑体" w:eastAsia="黑体" w:cs="Arial"/>
          <w:bCs/>
          <w:szCs w:val="21"/>
        </w:rPr>
      </w:pPr>
      <w:r>
        <w:rPr>
          <w:rFonts w:ascii="黑体" w:hAnsi="黑体" w:eastAsia="黑体" w:cs="Arial"/>
          <w:bCs/>
          <w:szCs w:val="21"/>
        </w:rPr>
        <w:t xml:space="preserve">碳减排/减少排放 GHG reduction </w:t>
      </w:r>
    </w:p>
    <w:p w14:paraId="720775AF">
      <w:pPr>
        <w:spacing w:line="276" w:lineRule="auto"/>
        <w:ind w:firstLine="420" w:firstLineChars="200"/>
        <w:jc w:val="left"/>
        <w:rPr>
          <w:rFonts w:ascii="宋体" w:hAnsi="宋体" w:eastAsia="宋体" w:cs="Arial"/>
          <w:szCs w:val="21"/>
        </w:rPr>
      </w:pPr>
      <w:r>
        <w:rPr>
          <w:rFonts w:ascii="宋体" w:hAnsi="宋体" w:eastAsia="宋体" w:cs="Arial"/>
          <w:szCs w:val="21"/>
        </w:rPr>
        <w:t xml:space="preserve">与两个时间点之间的活动或相对于基线具体相关或产生的温室气体排放量的量化减少。 </w:t>
      </w:r>
    </w:p>
    <w:p w14:paraId="233AB921">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[来源：ISO IWA 42:2022，3.3.2]</w:t>
      </w:r>
    </w:p>
    <w:p w14:paraId="462B9A69">
      <w:pPr>
        <w:spacing w:line="276" w:lineRule="auto"/>
        <w:jc w:val="left"/>
        <w:rPr>
          <w:rFonts w:ascii="黑体" w:hAnsi="黑体" w:eastAsia="黑体" w:cs="Arial"/>
          <w:bCs/>
          <w:szCs w:val="21"/>
        </w:rPr>
      </w:pPr>
      <w:r>
        <w:rPr>
          <w:rFonts w:hint="eastAsia" w:ascii="黑体" w:hAnsi="黑体" w:eastAsia="黑体" w:cs="Arial"/>
          <w:bCs/>
          <w:szCs w:val="21"/>
        </w:rPr>
        <w:t>3.3.4</w:t>
      </w:r>
    </w:p>
    <w:p w14:paraId="26A773FF">
      <w:pPr>
        <w:ind w:firstLine="420"/>
        <w:rPr>
          <w:rFonts w:ascii="黑体" w:hAnsi="黑体" w:eastAsia="黑体"/>
          <w:bCs/>
        </w:rPr>
      </w:pPr>
      <w:r>
        <w:rPr>
          <w:rFonts w:hint="eastAsia" w:ascii="黑体" w:hAnsi="黑体" w:eastAsia="黑体"/>
          <w:bCs/>
        </w:rPr>
        <w:t xml:space="preserve">碳清除（清除） </w:t>
      </w:r>
      <w:r>
        <w:rPr>
          <w:rFonts w:ascii="黑体" w:hAnsi="黑体" w:eastAsia="黑体"/>
          <w:bCs/>
        </w:rPr>
        <w:t>carbon removal</w:t>
      </w:r>
    </w:p>
    <w:p w14:paraId="0119BB28">
      <w:pPr>
        <w:ind w:firstLine="420"/>
        <w:rPr>
          <w:rFonts w:ascii="黑体" w:hAnsi="黑体" w:eastAsia="黑体"/>
          <w:bCs/>
        </w:rPr>
      </w:pPr>
      <w:r>
        <w:rPr>
          <w:rFonts w:hint="eastAsia" w:ascii="黑体" w:hAnsi="黑体" w:eastAsia="黑体"/>
          <w:bCs/>
        </w:rPr>
        <w:t>温室气体清除（清除排放）</w:t>
      </w:r>
      <w:r>
        <w:rPr>
          <w:rFonts w:ascii="黑体" w:hAnsi="黑体" w:eastAsia="黑体"/>
          <w:bCs/>
        </w:rPr>
        <w:t>GHG removal</w:t>
      </w:r>
    </w:p>
    <w:p w14:paraId="1E44E466">
      <w:pPr>
        <w:spacing w:line="288" w:lineRule="auto"/>
        <w:ind w:firstLine="420"/>
        <w:jc w:val="left"/>
        <w:rPr>
          <w:rFonts w:ascii="宋体" w:hAnsi="宋体" w:eastAsia="宋体"/>
          <w:sz w:val="20"/>
          <w:szCs w:val="21"/>
        </w:rPr>
      </w:pPr>
      <w:r>
        <w:rPr>
          <w:rFonts w:ascii="宋体" w:hAnsi="宋体" w:eastAsia="宋体" w:cs="Arial"/>
          <w:szCs w:val="21"/>
        </w:rPr>
        <w:t xml:space="preserve">由特定人为活动消除大气中的温室气体。 </w:t>
      </w:r>
    </w:p>
    <w:p w14:paraId="53FADEEA">
      <w:pPr>
        <w:spacing w:line="276" w:lineRule="auto"/>
        <w:ind w:left="420" w:leftChars="200"/>
        <w:jc w:val="left"/>
        <w:rPr>
          <w:rFonts w:ascii="宋体" w:hAnsi="宋体" w:eastAsia="宋体" w:cs="Arial"/>
          <w:sz w:val="18"/>
          <w:szCs w:val="18"/>
        </w:rPr>
      </w:pPr>
      <w:r>
        <w:rPr>
          <w:rFonts w:ascii="黑体" w:hAnsi="黑体" w:eastAsia="黑体" w:cs="Arial"/>
          <w:sz w:val="18"/>
          <w:szCs w:val="18"/>
        </w:rPr>
        <w:t>注1：</w:t>
      </w:r>
      <w:r>
        <w:rPr>
          <w:rFonts w:ascii="宋体" w:hAnsi="宋体" w:eastAsia="宋体" w:cs="Arial"/>
          <w:sz w:val="18"/>
          <w:szCs w:val="18"/>
        </w:rPr>
        <w:t xml:space="preserve">消除/清除的类型包括造林、生物质建筑（由植物材料制成的建筑材料）、直接空气碳捕获和封存、栖息地恢复、土壤碳捕获、增强风化（将土壤与碎石混合）、生物能源与碳捕获和封存。 </w:t>
      </w:r>
    </w:p>
    <w:p w14:paraId="5A46AA3F">
      <w:pPr>
        <w:spacing w:line="276" w:lineRule="auto"/>
        <w:ind w:left="420" w:leftChars="200"/>
        <w:jc w:val="left"/>
        <w:rPr>
          <w:rFonts w:ascii="宋体" w:hAnsi="宋体" w:eastAsia="宋体" w:cs="Arial"/>
          <w:sz w:val="18"/>
          <w:szCs w:val="18"/>
        </w:rPr>
      </w:pPr>
      <w:r>
        <w:rPr>
          <w:rFonts w:ascii="黑体" w:hAnsi="黑体" w:eastAsia="黑体" w:cs="Arial"/>
          <w:sz w:val="18"/>
          <w:szCs w:val="18"/>
        </w:rPr>
        <w:t>注2：</w:t>
      </w:r>
      <w:r>
        <w:rPr>
          <w:rFonts w:ascii="宋体" w:hAnsi="宋体" w:eastAsia="宋体" w:cs="Arial"/>
          <w:sz w:val="18"/>
          <w:szCs w:val="18"/>
        </w:rPr>
        <w:t xml:space="preserve">在本文件中，“消除/清除”一词包括封存，包括二氧化碳封存，被IPCC称为“二氧化碳消除”。 </w:t>
      </w:r>
    </w:p>
    <w:p w14:paraId="63FE1AA9">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[来源：ISO 14064-1:2018，3.1.6；IPCC AR6 WGIII附件I词汇表] </w:t>
      </w:r>
    </w:p>
    <w:p w14:paraId="5609EEDF">
      <w:pPr>
        <w:spacing w:line="276" w:lineRule="auto"/>
        <w:jc w:val="left"/>
        <w:rPr>
          <w:rFonts w:ascii="黑体" w:hAnsi="黑体" w:eastAsia="黑体" w:cs="Arial"/>
          <w:bCs/>
          <w:szCs w:val="21"/>
        </w:rPr>
      </w:pPr>
      <w:r>
        <w:rPr>
          <w:rFonts w:hint="eastAsia" w:ascii="黑体" w:hAnsi="黑体" w:eastAsia="黑体" w:cs="Arial"/>
          <w:bCs/>
          <w:szCs w:val="21"/>
        </w:rPr>
        <w:t>3.3.5</w:t>
      </w:r>
    </w:p>
    <w:p w14:paraId="33BDEC22">
      <w:pPr>
        <w:ind w:firstLine="420"/>
        <w:rPr>
          <w:rFonts w:ascii="黑体" w:hAnsi="黑体" w:eastAsia="黑体"/>
          <w:bCs/>
        </w:rPr>
      </w:pPr>
      <w:r>
        <w:rPr>
          <w:rFonts w:hint="eastAsia" w:ascii="黑体" w:hAnsi="黑体" w:eastAsia="黑体"/>
          <w:bCs/>
        </w:rPr>
        <w:t>碳抵消</w:t>
      </w:r>
      <w:r>
        <w:rPr>
          <w:rFonts w:ascii="黑体" w:hAnsi="黑体" w:eastAsia="黑体"/>
          <w:bCs/>
        </w:rPr>
        <w:t xml:space="preserve"> offset</w:t>
      </w:r>
    </w:p>
    <w:p w14:paraId="1818AE91">
      <w:pPr>
        <w:ind w:firstLine="420"/>
        <w:rPr>
          <w:rFonts w:ascii="黑体" w:hAnsi="黑体" w:eastAsia="黑体"/>
          <w:bCs/>
        </w:rPr>
      </w:pPr>
      <w:r>
        <w:rPr>
          <w:rFonts w:hint="eastAsia" w:ascii="黑体" w:hAnsi="黑体" w:eastAsia="黑体"/>
          <w:bCs/>
        </w:rPr>
        <w:t>抵消排放</w:t>
      </w:r>
      <w:r>
        <w:rPr>
          <w:rFonts w:ascii="黑体" w:hAnsi="黑体" w:eastAsia="黑体"/>
          <w:bCs/>
        </w:rPr>
        <w:t xml:space="preserve"> GHG offset</w:t>
      </w:r>
    </w:p>
    <w:p w14:paraId="27A0CC94">
      <w:pPr>
        <w:spacing w:line="288" w:lineRule="auto"/>
        <w:ind w:firstLine="420"/>
        <w:jc w:val="left"/>
        <w:rPr>
          <w:rFonts w:ascii="宋体" w:hAnsi="宋体" w:eastAsia="宋体" w:cs="Arial"/>
          <w:szCs w:val="21"/>
        </w:rPr>
      </w:pPr>
      <w:r>
        <w:rPr>
          <w:rFonts w:ascii="宋体" w:hAnsi="宋体" w:eastAsia="宋体" w:cs="Arial"/>
          <w:szCs w:val="21"/>
        </w:rPr>
        <w:t xml:space="preserve">企业边界之外的活动产生的碳清除，且被用于抵消组织的残留排放。 </w:t>
      </w:r>
    </w:p>
    <w:p w14:paraId="5ED510F2">
      <w:pPr>
        <w:spacing w:line="276" w:lineRule="auto"/>
        <w:ind w:left="420" w:leftChars="200"/>
        <w:jc w:val="left"/>
        <w:rPr>
          <w:rFonts w:ascii="宋体" w:hAnsi="宋体" w:eastAsia="宋体" w:cs="Arial"/>
          <w:sz w:val="18"/>
          <w:szCs w:val="18"/>
        </w:rPr>
      </w:pPr>
      <w:r>
        <w:rPr>
          <w:rFonts w:ascii="黑体" w:hAnsi="黑体" w:eastAsia="黑体" w:cs="Arial"/>
          <w:sz w:val="18"/>
          <w:szCs w:val="18"/>
        </w:rPr>
        <w:t>注1：</w:t>
      </w:r>
      <w:r>
        <w:rPr>
          <w:rFonts w:ascii="宋体" w:hAnsi="宋体" w:eastAsia="宋体" w:cs="Arial"/>
          <w:sz w:val="18"/>
          <w:szCs w:val="18"/>
        </w:rPr>
        <w:t xml:space="preserve">抵消通常指以组织的名义在登记系统注销一定量的碳信用，以抵消其残留排放。登记系统，是指允许组织登记、管理和交易碳信用的平台。 </w:t>
      </w:r>
    </w:p>
    <w:p w14:paraId="2EF8032F">
      <w:pPr>
        <w:spacing w:line="276" w:lineRule="auto"/>
        <w:ind w:left="420" w:leftChars="200"/>
        <w:jc w:val="left"/>
        <w:rPr>
          <w:rFonts w:ascii="宋体" w:hAnsi="宋体" w:eastAsia="宋体" w:cs="Arial"/>
          <w:sz w:val="18"/>
          <w:szCs w:val="18"/>
        </w:rPr>
      </w:pPr>
      <w:r>
        <w:rPr>
          <w:rFonts w:ascii="黑体" w:hAnsi="黑体" w:eastAsia="黑体" w:cs="Arial"/>
          <w:sz w:val="18"/>
          <w:szCs w:val="18"/>
        </w:rPr>
        <w:t>注2：</w:t>
      </w:r>
      <w:r>
        <w:rPr>
          <w:rFonts w:ascii="宋体" w:hAnsi="宋体" w:eastAsia="宋体" w:cs="Arial"/>
          <w:sz w:val="18"/>
          <w:szCs w:val="18"/>
        </w:rPr>
        <w:t xml:space="preserve">碳信用为能代表减缓一定数量的温室气体排放的可交易证书。 </w:t>
      </w:r>
    </w:p>
    <w:p w14:paraId="7B9EF1CB">
      <w:pPr>
        <w:spacing w:line="27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[来源：ISO IWA 42:2022，3.3.4] </w:t>
      </w:r>
    </w:p>
    <w:p w14:paraId="1BAF0324">
      <w:pPr>
        <w:pStyle w:val="2"/>
        <w:numPr>
          <w:ilvl w:val="0"/>
          <w:numId w:val="1"/>
        </w:numPr>
        <w:spacing w:before="240" w:after="240" w:afterLines="100" w:line="240" w:lineRule="auto"/>
        <w:rPr>
          <w:rFonts w:ascii="黑体" w:hAnsi="黑体" w:eastAsia="黑体"/>
          <w:b w:val="0"/>
          <w:sz w:val="21"/>
          <w:szCs w:val="21"/>
          <w14:ligatures w14:val="none"/>
        </w:rPr>
      </w:pPr>
      <w:bookmarkStart w:id="16" w:name="heading_8"/>
      <w:bookmarkStart w:id="17" w:name="_Toc167487082"/>
      <w:r>
        <w:rPr>
          <w:rFonts w:ascii="黑体" w:hAnsi="黑体" w:eastAsia="黑体"/>
          <w:b w:val="0"/>
          <w:sz w:val="21"/>
          <w:szCs w:val="21"/>
          <w14:ligatures w14:val="none"/>
        </w:rPr>
        <w:t>创建与实施</w:t>
      </w:r>
      <w:bookmarkEnd w:id="16"/>
      <w:bookmarkEnd w:id="17"/>
    </w:p>
    <w:p w14:paraId="24184270">
      <w:pPr>
        <w:pStyle w:val="3"/>
        <w:spacing w:before="240" w:beforeLines="100" w:after="120"/>
        <w:rPr>
          <w:rFonts w:ascii="黑体" w:hAnsi="黑体" w:eastAsia="黑体"/>
          <w:b w:val="0"/>
          <w:sz w:val="21"/>
          <w:szCs w:val="21"/>
          <w14:ligatures w14:val="none"/>
        </w:rPr>
      </w:pPr>
      <w:bookmarkStart w:id="18" w:name="_Toc167487083"/>
      <w:bookmarkStart w:id="19" w:name="heading_9"/>
      <w:r>
        <w:rPr>
          <w:rFonts w:ascii="黑体" w:hAnsi="黑体" w:eastAsia="黑体"/>
          <w:b w:val="0"/>
          <w:sz w:val="21"/>
          <w:szCs w:val="21"/>
          <w14:ligatures w14:val="none"/>
        </w:rPr>
        <w:t>4.1创建流程</w:t>
      </w:r>
      <w:bookmarkEnd w:id="18"/>
      <w:bookmarkEnd w:id="19"/>
    </w:p>
    <w:p w14:paraId="51B98BAB">
      <w:pPr>
        <w:spacing w:before="120" w:after="120" w:line="288" w:lineRule="auto"/>
        <w:ind w:firstLine="420"/>
        <w:jc w:val="left"/>
        <w:rPr>
          <w:rFonts w:ascii="宋体" w:hAnsi="宋体" w:eastAsia="宋体"/>
          <w:szCs w:val="21"/>
        </w:rPr>
      </w:pPr>
      <w:r>
        <w:rPr>
          <w:rFonts w:ascii="宋体" w:hAnsi="宋体" w:eastAsia="宋体" w:cs="Arial"/>
          <w:szCs w:val="21"/>
        </w:rPr>
        <w:t>净零办公建筑创建与实施流程如图1所示。</w:t>
      </w:r>
    </w:p>
    <w:p w14:paraId="562FF5D0">
      <w:pPr>
        <w:spacing w:before="120" w:after="120" w:line="288" w:lineRule="auto"/>
        <w:jc w:val="center"/>
        <w:rPr>
          <w:rFonts w:ascii="宋体" w:hAnsi="宋体" w:eastAsia="宋体"/>
          <w:szCs w:val="21"/>
        </w:rPr>
      </w:pPr>
      <w:r>
        <w:rPr>
          <w:rFonts w:ascii="宋体" w:hAnsi="宋体" w:eastAsia="宋体"/>
          <w:szCs w:val="21"/>
        </w:rPr>
        <w:drawing>
          <wp:inline distT="0" distB="0" distL="0" distR="0">
            <wp:extent cx="5698490" cy="919480"/>
            <wp:effectExtent l="0" t="0" r="0" b="0"/>
            <wp:docPr id="6320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744" name="图片 1"/>
                    <pic:cNvPicPr>
                      <a:picLocks noChangeAspect="1"/>
                    </pic:cNvPicPr>
                  </pic:nvPicPr>
                  <pic:blipFill>
                    <a:blip r:embed="rId6"/>
                    <a:stretch>
                      <a:fillRect/>
                    </a:stretch>
                  </pic:blipFill>
                  <pic:spPr>
                    <a:xfrm>
                      <a:off x="0" y="0"/>
                      <a:ext cx="5698490" cy="919480"/>
                    </a:xfrm>
                    <a:prstGeom prst="rect">
                      <a:avLst/>
                    </a:prstGeom>
                  </pic:spPr>
                </pic:pic>
              </a:graphicData>
            </a:graphic>
          </wp:inline>
        </w:drawing>
      </w:r>
    </w:p>
    <w:p w14:paraId="08F60C79">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1</w:t>
      </w:r>
      <w:r>
        <w:rPr>
          <w:rFonts w:ascii="黑体" w:hAnsi="黑体" w:eastAsia="黑体" w:cs="Calibri"/>
          <w:szCs w:val="21"/>
        </w:rPr>
        <w:t xml:space="preserve"> 净零建筑创建流程</w:t>
      </w:r>
    </w:p>
    <w:p w14:paraId="6249449D">
      <w:pPr>
        <w:pStyle w:val="3"/>
        <w:spacing w:before="240" w:beforeLines="100" w:after="120"/>
        <w:rPr>
          <w:rFonts w:ascii="黑体" w:hAnsi="黑体" w:eastAsia="黑体"/>
          <w:b w:val="0"/>
          <w:sz w:val="21"/>
          <w:szCs w:val="21"/>
          <w14:ligatures w14:val="none"/>
        </w:rPr>
      </w:pPr>
      <w:bookmarkStart w:id="20" w:name="heading_10"/>
      <w:bookmarkStart w:id="21" w:name="_Toc167487084"/>
      <w:r>
        <w:rPr>
          <w:rFonts w:ascii="黑体" w:hAnsi="黑体" w:eastAsia="黑体"/>
          <w:b w:val="0"/>
          <w:sz w:val="21"/>
          <w:szCs w:val="21"/>
          <w14:ligatures w14:val="none"/>
        </w:rPr>
        <w:t>4.2 基础体系</w:t>
      </w:r>
      <w:bookmarkEnd w:id="20"/>
      <w:bookmarkEnd w:id="21"/>
    </w:p>
    <w:p w14:paraId="2FDA1FE4">
      <w:pPr>
        <w:spacing w:before="120" w:beforeLines="50" w:after="120" w:afterLines="50"/>
        <w:rPr>
          <w:rFonts w:ascii="黑体" w:hAnsi="黑体" w:eastAsia="黑体" w:cs="Times New Roman"/>
          <w:szCs w:val="24"/>
          <w14:ligatures w14:val="none"/>
        </w:rPr>
      </w:pPr>
      <w:bookmarkStart w:id="22" w:name="heading_11"/>
      <w:r>
        <w:rPr>
          <w:rFonts w:ascii="黑体" w:hAnsi="黑体" w:eastAsia="黑体" w:cs="Times New Roman"/>
          <w:szCs w:val="24"/>
          <w14:ligatures w14:val="none"/>
        </w:rPr>
        <w:t>4.2.1净零管理组织架构</w:t>
      </w:r>
      <w:bookmarkEnd w:id="22"/>
    </w:p>
    <w:p w14:paraId="69DC1E03">
      <w:pPr>
        <w:spacing w:line="288" w:lineRule="auto"/>
        <w:ind w:firstLine="420"/>
        <w:jc w:val="left"/>
        <w:rPr>
          <w:rFonts w:ascii="宋体" w:hAnsi="宋体" w:eastAsia="宋体" w:cs="Arial"/>
          <w:szCs w:val="21"/>
        </w:rPr>
      </w:pPr>
      <w:r>
        <w:rPr>
          <w:rFonts w:ascii="宋体" w:hAnsi="宋体" w:eastAsia="宋体" w:cs="Arial"/>
          <w:szCs w:val="21"/>
        </w:rPr>
        <w:t>建筑业主应</w:t>
      </w:r>
      <w:r>
        <w:rPr>
          <w:rFonts w:hint="eastAsia" w:ascii="宋体" w:hAnsi="宋体" w:eastAsia="宋体" w:cs="Arial"/>
          <w:szCs w:val="21"/>
        </w:rPr>
        <w:t>建立建筑</w:t>
      </w:r>
      <w:r>
        <w:rPr>
          <w:rFonts w:ascii="宋体" w:hAnsi="宋体" w:eastAsia="宋体" w:cs="Arial"/>
          <w:szCs w:val="21"/>
        </w:rPr>
        <w:t>管理组织架构</w:t>
      </w:r>
      <w:r>
        <w:rPr>
          <w:rFonts w:hint="eastAsia" w:ascii="宋体" w:hAnsi="宋体" w:eastAsia="宋体" w:cs="Arial"/>
          <w:szCs w:val="21"/>
        </w:rPr>
        <w:t>，包括：</w:t>
      </w:r>
    </w:p>
    <w:p w14:paraId="5E063409">
      <w:pPr>
        <w:pStyle w:val="18"/>
        <w:numPr>
          <w:ilvl w:val="0"/>
          <w:numId w:val="2"/>
        </w:numPr>
        <w:ind w:firstLineChars="0"/>
        <w:jc w:val="left"/>
        <w:rPr>
          <w:rFonts w:ascii="宋体" w:hAnsi="宋体" w:eastAsia="宋体"/>
          <w:szCs w:val="21"/>
        </w:rPr>
      </w:pPr>
      <w:r>
        <w:rPr>
          <w:rFonts w:ascii="宋体" w:hAnsi="宋体" w:eastAsia="宋体" w:cs="Arial"/>
          <w:szCs w:val="21"/>
        </w:rPr>
        <w:t>建立净零建设领导小组或有效的管理团队；</w:t>
      </w:r>
    </w:p>
    <w:p w14:paraId="2F071EAD">
      <w:pPr>
        <w:pStyle w:val="18"/>
        <w:numPr>
          <w:ilvl w:val="0"/>
          <w:numId w:val="2"/>
        </w:numPr>
        <w:ind w:firstLineChars="0"/>
        <w:jc w:val="left"/>
        <w:rPr>
          <w:rFonts w:ascii="宋体" w:hAnsi="宋体" w:eastAsia="宋体"/>
          <w:szCs w:val="21"/>
        </w:rPr>
      </w:pPr>
      <w:r>
        <w:rPr>
          <w:rFonts w:ascii="宋体" w:hAnsi="宋体" w:eastAsia="宋体" w:cs="Arial"/>
          <w:szCs w:val="21"/>
        </w:rPr>
        <w:t>确定管理团队在管理、监测、监督碳管理相关行动的具体职责，并形成标准化、格式化的相关文件；</w:t>
      </w:r>
    </w:p>
    <w:p w14:paraId="3F30B1C8">
      <w:pPr>
        <w:pStyle w:val="18"/>
        <w:numPr>
          <w:ilvl w:val="0"/>
          <w:numId w:val="2"/>
        </w:numPr>
        <w:ind w:firstLineChars="0"/>
        <w:jc w:val="left"/>
        <w:rPr>
          <w:rFonts w:ascii="宋体" w:hAnsi="宋体" w:eastAsia="宋体"/>
          <w:szCs w:val="21"/>
        </w:rPr>
      </w:pPr>
      <w:r>
        <w:rPr>
          <w:rFonts w:ascii="宋体" w:hAnsi="宋体" w:eastAsia="宋体" w:cs="Arial"/>
          <w:szCs w:val="21"/>
        </w:rPr>
        <w:t>建筑业主管理层应提供必要的人力、财力、设备、信息等资源，以保障该小组或机构有效运行；</w:t>
      </w:r>
    </w:p>
    <w:p w14:paraId="4A2124D1">
      <w:pPr>
        <w:pStyle w:val="18"/>
        <w:numPr>
          <w:ilvl w:val="0"/>
          <w:numId w:val="2"/>
        </w:numPr>
        <w:ind w:firstLineChars="0"/>
        <w:jc w:val="left"/>
        <w:rPr>
          <w:rFonts w:ascii="宋体" w:hAnsi="宋体" w:eastAsia="宋体"/>
          <w:szCs w:val="21"/>
        </w:rPr>
      </w:pPr>
      <w:r>
        <w:rPr>
          <w:rFonts w:ascii="宋体" w:hAnsi="宋体" w:eastAsia="宋体" w:cs="Arial"/>
          <w:szCs w:val="21"/>
        </w:rPr>
        <w:t>制定内外部各参与方合作、协调机制</w:t>
      </w:r>
    </w:p>
    <w:p w14:paraId="7CE5C1CD">
      <w:pPr>
        <w:spacing w:before="120" w:beforeLines="50" w:after="120" w:afterLines="50"/>
        <w:rPr>
          <w:rFonts w:ascii="黑体" w:hAnsi="黑体" w:eastAsia="黑体" w:cs="Times New Roman"/>
          <w:szCs w:val="24"/>
          <w14:ligatures w14:val="none"/>
        </w:rPr>
      </w:pPr>
      <w:bookmarkStart w:id="23" w:name="heading_12"/>
    </w:p>
    <w:p w14:paraId="748E33A0">
      <w:pPr>
        <w:spacing w:before="120" w:beforeLines="50" w:after="120" w:afterLines="50"/>
        <w:rPr>
          <w:rFonts w:ascii="黑体" w:hAnsi="黑体" w:eastAsia="黑体" w:cs="Times New Roman"/>
          <w:szCs w:val="24"/>
          <w14:ligatures w14:val="none"/>
        </w:rPr>
      </w:pPr>
      <w:r>
        <w:rPr>
          <w:rFonts w:ascii="黑体" w:hAnsi="黑体" w:eastAsia="黑体" w:cs="Times New Roman"/>
          <w:szCs w:val="24"/>
          <w14:ligatures w14:val="none"/>
        </w:rPr>
        <w:t>4.2.2温室气体管理体系</w:t>
      </w:r>
      <w:bookmarkEnd w:id="23"/>
    </w:p>
    <w:p w14:paraId="0E5F68D4">
      <w:pPr>
        <w:spacing w:line="288" w:lineRule="auto"/>
        <w:ind w:firstLine="420"/>
        <w:jc w:val="left"/>
        <w:rPr>
          <w:rFonts w:ascii="宋体" w:hAnsi="宋体" w:eastAsia="宋体" w:cs="Arial"/>
          <w:szCs w:val="21"/>
        </w:rPr>
      </w:pPr>
      <w:r>
        <w:rPr>
          <w:rFonts w:ascii="宋体" w:hAnsi="宋体" w:eastAsia="宋体" w:cs="Arial"/>
          <w:szCs w:val="21"/>
        </w:rPr>
        <w:t>建筑业主应制定温室气体管理程序，盘查建筑碳排放：</w:t>
      </w:r>
    </w:p>
    <w:p w14:paraId="7D454F79">
      <w:pPr>
        <w:pStyle w:val="18"/>
        <w:numPr>
          <w:ilvl w:val="0"/>
          <w:numId w:val="3"/>
        </w:numPr>
        <w:ind w:firstLineChars="0"/>
        <w:jc w:val="left"/>
        <w:rPr>
          <w:rFonts w:ascii="宋体" w:hAnsi="宋体" w:eastAsia="宋体" w:cs="Arial"/>
          <w:szCs w:val="21"/>
        </w:rPr>
      </w:pPr>
      <w:r>
        <w:rPr>
          <w:rFonts w:ascii="宋体" w:hAnsi="宋体" w:eastAsia="宋体" w:cs="Arial"/>
          <w:szCs w:val="21"/>
        </w:rPr>
        <w:t>确定温室气体核算方法；</w:t>
      </w:r>
    </w:p>
    <w:p w14:paraId="6706D994">
      <w:pPr>
        <w:pStyle w:val="18"/>
        <w:numPr>
          <w:ilvl w:val="0"/>
          <w:numId w:val="3"/>
        </w:numPr>
        <w:ind w:firstLineChars="0"/>
        <w:jc w:val="left"/>
        <w:rPr>
          <w:rFonts w:ascii="宋体" w:hAnsi="宋体" w:eastAsia="宋体" w:cs="Arial"/>
          <w:szCs w:val="21"/>
        </w:rPr>
      </w:pPr>
      <w:r>
        <w:rPr>
          <w:rFonts w:ascii="宋体" w:hAnsi="宋体" w:eastAsia="宋体" w:cs="Arial"/>
          <w:szCs w:val="21"/>
        </w:rPr>
        <w:t>建立温室气体数据记录管理体系；</w:t>
      </w:r>
    </w:p>
    <w:p w14:paraId="0CD5F017">
      <w:pPr>
        <w:pStyle w:val="18"/>
        <w:numPr>
          <w:ilvl w:val="0"/>
          <w:numId w:val="3"/>
        </w:numPr>
        <w:ind w:firstLineChars="0"/>
        <w:jc w:val="left"/>
        <w:rPr>
          <w:rFonts w:ascii="宋体" w:hAnsi="宋体" w:eastAsia="宋体" w:cs="Arial"/>
          <w:szCs w:val="21"/>
        </w:rPr>
      </w:pPr>
      <w:r>
        <w:rPr>
          <w:rFonts w:ascii="宋体" w:hAnsi="宋体" w:eastAsia="宋体" w:cs="Arial"/>
          <w:szCs w:val="21"/>
        </w:rPr>
        <w:t>建立温室气体排放报告内部审核体系；</w:t>
      </w:r>
    </w:p>
    <w:p w14:paraId="0668565C">
      <w:pPr>
        <w:pStyle w:val="18"/>
        <w:numPr>
          <w:ilvl w:val="0"/>
          <w:numId w:val="3"/>
        </w:numPr>
        <w:ind w:firstLineChars="0"/>
        <w:jc w:val="left"/>
        <w:rPr>
          <w:rFonts w:ascii="宋体" w:hAnsi="宋体" w:eastAsia="宋体" w:cs="Arial"/>
          <w:szCs w:val="21"/>
        </w:rPr>
      </w:pPr>
      <w:r>
        <w:rPr>
          <w:rFonts w:ascii="宋体" w:hAnsi="宋体" w:eastAsia="宋体" w:cs="Arial"/>
          <w:szCs w:val="21"/>
        </w:rPr>
        <w:t>制定数据质量控制计划；</w:t>
      </w:r>
    </w:p>
    <w:p w14:paraId="6BC5BD25">
      <w:pPr>
        <w:pStyle w:val="18"/>
        <w:numPr>
          <w:ilvl w:val="0"/>
          <w:numId w:val="3"/>
        </w:numPr>
        <w:ind w:firstLineChars="0"/>
        <w:jc w:val="left"/>
        <w:rPr>
          <w:rFonts w:ascii="宋体" w:hAnsi="宋体" w:eastAsia="宋体" w:cs="Arial"/>
          <w:szCs w:val="21"/>
        </w:rPr>
      </w:pPr>
      <w:r>
        <w:rPr>
          <w:rFonts w:ascii="宋体" w:hAnsi="宋体" w:eastAsia="宋体" w:cs="Arial"/>
          <w:szCs w:val="21"/>
        </w:rPr>
        <w:t>开展定期进行培训，确保相关人员了解并遵循数据质量控制计划；</w:t>
      </w:r>
    </w:p>
    <w:p w14:paraId="1BF61759">
      <w:pPr>
        <w:pStyle w:val="18"/>
        <w:numPr>
          <w:ilvl w:val="0"/>
          <w:numId w:val="3"/>
        </w:numPr>
        <w:ind w:firstLineChars="0"/>
        <w:jc w:val="left"/>
        <w:rPr>
          <w:rFonts w:ascii="宋体" w:hAnsi="宋体" w:eastAsia="宋体" w:cs="Arial"/>
          <w:szCs w:val="21"/>
        </w:rPr>
      </w:pPr>
      <w:r>
        <w:rPr>
          <w:rFonts w:ascii="宋体" w:hAnsi="宋体" w:eastAsia="宋体" w:cs="Arial"/>
          <w:szCs w:val="21"/>
        </w:rPr>
        <w:t>建立持续监测机制，以确保数据的时效性和准确性。</w:t>
      </w:r>
    </w:p>
    <w:p w14:paraId="4AEA822E">
      <w:pPr>
        <w:pStyle w:val="18"/>
        <w:numPr>
          <w:ilvl w:val="2"/>
          <w:numId w:val="4"/>
        </w:numPr>
        <w:spacing w:before="120" w:beforeLines="50" w:after="120" w:afterLines="50"/>
        <w:ind w:firstLineChars="0"/>
        <w:rPr>
          <w:rFonts w:ascii="黑体" w:hAnsi="黑体" w:eastAsia="黑体" w:cs="Times New Roman"/>
          <w:szCs w:val="24"/>
          <w14:ligatures w14:val="none"/>
        </w:rPr>
      </w:pPr>
      <w:bookmarkStart w:id="24" w:name="heading_13"/>
      <w:r>
        <w:rPr>
          <w:rFonts w:ascii="黑体" w:hAnsi="黑体" w:eastAsia="黑体" w:cs="Times New Roman"/>
          <w:szCs w:val="24"/>
          <w14:ligatures w14:val="none"/>
        </w:rPr>
        <w:t>净零行动跟进与改进机制</w:t>
      </w:r>
      <w:bookmarkEnd w:id="24"/>
    </w:p>
    <w:p w14:paraId="2190F82D">
      <w:pPr>
        <w:spacing w:line="288" w:lineRule="auto"/>
        <w:ind w:firstLine="420"/>
        <w:jc w:val="left"/>
        <w:rPr>
          <w:rFonts w:ascii="宋体" w:hAnsi="宋体" w:eastAsia="宋体" w:cs="Arial"/>
          <w:szCs w:val="21"/>
        </w:rPr>
      </w:pPr>
      <w:r>
        <w:rPr>
          <w:rFonts w:ascii="宋体" w:hAnsi="宋体" w:eastAsia="宋体" w:cs="Arial"/>
          <w:szCs w:val="21"/>
        </w:rPr>
        <w:t>建立净零行动跟进机制，包括建设成果评价指标体系、目标进展考核等</w:t>
      </w:r>
      <w:r>
        <w:rPr>
          <w:rFonts w:hint="eastAsia" w:ascii="宋体" w:hAnsi="宋体" w:eastAsia="宋体" w:cs="Arial"/>
          <w:szCs w:val="21"/>
        </w:rPr>
        <w:t>。</w:t>
      </w:r>
    </w:p>
    <w:p w14:paraId="518DAB8A">
      <w:pPr>
        <w:spacing w:line="288" w:lineRule="auto"/>
        <w:ind w:firstLine="420"/>
        <w:jc w:val="left"/>
        <w:rPr>
          <w:rFonts w:ascii="宋体" w:hAnsi="宋体" w:eastAsia="宋体" w:cs="Arial"/>
          <w:szCs w:val="21"/>
        </w:rPr>
      </w:pPr>
      <w:r>
        <w:rPr>
          <w:rFonts w:ascii="宋体" w:hAnsi="宋体" w:eastAsia="宋体" w:cs="Arial"/>
          <w:szCs w:val="21"/>
        </w:rPr>
        <w:t>建立改进机制，通过经验实践不断改进建筑净零运营计划。</w:t>
      </w:r>
    </w:p>
    <w:p w14:paraId="42FABB21">
      <w:pPr>
        <w:pStyle w:val="18"/>
        <w:numPr>
          <w:ilvl w:val="2"/>
          <w:numId w:val="4"/>
        </w:numPr>
        <w:spacing w:before="120" w:beforeLines="50" w:after="120" w:afterLines="50"/>
        <w:ind w:firstLineChars="0"/>
        <w:rPr>
          <w:rFonts w:ascii="黑体" w:hAnsi="黑体" w:eastAsia="黑体" w:cs="Times New Roman"/>
          <w:szCs w:val="24"/>
          <w14:ligatures w14:val="none"/>
        </w:rPr>
      </w:pPr>
      <w:bookmarkStart w:id="25" w:name="heading_14"/>
      <w:r>
        <w:rPr>
          <w:rFonts w:ascii="黑体" w:hAnsi="黑体" w:eastAsia="黑体" w:cs="Times New Roman"/>
          <w:szCs w:val="24"/>
          <w14:ligatures w14:val="none"/>
        </w:rPr>
        <w:t>信息披露机制</w:t>
      </w:r>
      <w:bookmarkEnd w:id="25"/>
    </w:p>
    <w:p w14:paraId="27E9AD58">
      <w:pPr>
        <w:ind w:firstLine="420"/>
        <w:jc w:val="left"/>
        <w:rPr>
          <w:rFonts w:ascii="宋体" w:hAnsi="宋体" w:eastAsia="宋体" w:cs="Arial"/>
          <w:szCs w:val="21"/>
        </w:rPr>
      </w:pPr>
      <w:r>
        <w:rPr>
          <w:rFonts w:ascii="宋体" w:hAnsi="宋体" w:eastAsia="宋体" w:cs="Arial"/>
          <w:szCs w:val="21"/>
        </w:rPr>
        <w:t>建筑业主应制定碳信息披露管理程序，并公开披露净零行动进展：</w:t>
      </w:r>
    </w:p>
    <w:p w14:paraId="4AABBFF7">
      <w:pPr>
        <w:pStyle w:val="18"/>
        <w:numPr>
          <w:ilvl w:val="0"/>
          <w:numId w:val="5"/>
        </w:numPr>
        <w:ind w:firstLineChars="0"/>
        <w:jc w:val="left"/>
        <w:rPr>
          <w:rFonts w:ascii="宋体" w:hAnsi="宋体" w:eastAsia="宋体" w:cs="Arial"/>
          <w:szCs w:val="21"/>
        </w:rPr>
      </w:pPr>
      <w:r>
        <w:rPr>
          <w:rFonts w:ascii="宋体" w:hAnsi="宋体" w:eastAsia="宋体" w:cs="Arial"/>
          <w:szCs w:val="21"/>
        </w:rPr>
        <w:t>建筑业主应制定相关制度流程，保障与利益相关方的透明沟通并报告实现净零目标进展；</w:t>
      </w:r>
    </w:p>
    <w:p w14:paraId="39F04D02">
      <w:pPr>
        <w:pStyle w:val="18"/>
        <w:numPr>
          <w:ilvl w:val="0"/>
          <w:numId w:val="5"/>
        </w:numPr>
        <w:ind w:firstLineChars="0"/>
        <w:jc w:val="left"/>
        <w:rPr>
          <w:rFonts w:ascii="宋体" w:hAnsi="宋体" w:eastAsia="宋体" w:cs="Arial"/>
          <w:szCs w:val="21"/>
        </w:rPr>
      </w:pPr>
      <w:r>
        <w:rPr>
          <w:rFonts w:ascii="宋体" w:hAnsi="宋体" w:eastAsia="宋体" w:cs="Arial"/>
          <w:szCs w:val="21"/>
        </w:rPr>
        <w:t>建筑业主应使用相关公共报告平台，至少每年报告一次相关目标的定性和定量进展情况；</w:t>
      </w:r>
    </w:p>
    <w:p w14:paraId="52C71D3E">
      <w:pPr>
        <w:pStyle w:val="18"/>
        <w:numPr>
          <w:ilvl w:val="0"/>
          <w:numId w:val="5"/>
        </w:numPr>
        <w:ind w:firstLineChars="0"/>
        <w:jc w:val="left"/>
        <w:rPr>
          <w:rFonts w:ascii="宋体" w:hAnsi="宋体" w:eastAsia="宋体" w:cs="Arial"/>
          <w:szCs w:val="21"/>
        </w:rPr>
      </w:pPr>
      <w:r>
        <w:rPr>
          <w:rFonts w:ascii="宋体" w:hAnsi="宋体" w:eastAsia="宋体" w:cs="Arial"/>
          <w:szCs w:val="21"/>
        </w:rPr>
        <w:t>定期评估建筑的运营绩效，并及时根据现实情况改善方案。</w:t>
      </w:r>
    </w:p>
    <w:p w14:paraId="3BB9B35B">
      <w:pPr>
        <w:ind w:left="453"/>
        <w:jc w:val="left"/>
        <w:rPr>
          <w:rFonts w:ascii="宋体" w:hAnsi="宋体" w:eastAsia="宋体"/>
          <w:sz w:val="18"/>
          <w:szCs w:val="18"/>
        </w:rPr>
      </w:pPr>
      <w:r>
        <w:rPr>
          <w:rFonts w:ascii="宋体" w:hAnsi="宋体" w:eastAsia="宋体" w:cs="Arial"/>
          <w:sz w:val="18"/>
          <w:szCs w:val="18"/>
          <w:highlight w:val="yellow"/>
        </w:rPr>
        <w:t>注：建筑信息披露可参考附件</w:t>
      </w:r>
      <w:r>
        <w:rPr>
          <w:rFonts w:hint="eastAsia" w:ascii="宋体" w:hAnsi="宋体" w:eastAsia="宋体" w:cs="Arial"/>
          <w:sz w:val="18"/>
          <w:szCs w:val="18"/>
          <w:highlight w:val="yellow"/>
          <w:shd w:val="clear" w:color="auto" w:fill="FFF67A"/>
        </w:rPr>
        <w:t>C</w:t>
      </w:r>
      <w:r>
        <w:rPr>
          <w:rFonts w:ascii="宋体" w:hAnsi="宋体" w:eastAsia="宋体" w:cs="Arial"/>
          <w:sz w:val="18"/>
          <w:szCs w:val="18"/>
          <w:highlight w:val="yellow"/>
        </w:rPr>
        <w:t>。</w:t>
      </w:r>
    </w:p>
    <w:p w14:paraId="5E22901C">
      <w:pPr>
        <w:pStyle w:val="3"/>
        <w:spacing w:before="240" w:beforeLines="100" w:after="120"/>
        <w:rPr>
          <w:rFonts w:ascii="黑体" w:hAnsi="黑体" w:eastAsia="黑体"/>
          <w:b w:val="0"/>
          <w:sz w:val="21"/>
          <w:szCs w:val="21"/>
          <w14:ligatures w14:val="none"/>
        </w:rPr>
      </w:pPr>
      <w:bookmarkStart w:id="26" w:name="heading_15"/>
      <w:bookmarkStart w:id="27" w:name="_Toc167487085"/>
      <w:r>
        <w:rPr>
          <w:rFonts w:ascii="黑体" w:hAnsi="黑体" w:eastAsia="黑体"/>
          <w:b w:val="0"/>
          <w:sz w:val="21"/>
          <w:szCs w:val="21"/>
          <w14:ligatures w14:val="none"/>
        </w:rPr>
        <w:t>4.3 净零行动</w:t>
      </w:r>
      <w:bookmarkEnd w:id="26"/>
      <w:bookmarkEnd w:id="27"/>
    </w:p>
    <w:p w14:paraId="6EFF6B25">
      <w:pPr>
        <w:spacing w:before="120" w:beforeLines="50" w:after="120" w:afterLines="50"/>
        <w:rPr>
          <w:rFonts w:ascii="黑体" w:hAnsi="黑体" w:eastAsia="黑体" w:cs="Times New Roman"/>
          <w:szCs w:val="24"/>
          <w14:ligatures w14:val="none"/>
        </w:rPr>
      </w:pPr>
      <w:bookmarkStart w:id="28" w:name="heading_16"/>
      <w:r>
        <w:rPr>
          <w:rFonts w:ascii="黑体" w:hAnsi="黑体" w:eastAsia="黑体" w:cs="Times New Roman"/>
          <w:szCs w:val="24"/>
          <w14:ligatures w14:val="none"/>
        </w:rPr>
        <w:t>4.3.1 通则</w:t>
      </w:r>
      <w:bookmarkEnd w:id="28"/>
    </w:p>
    <w:p w14:paraId="57BE56A3">
      <w:pPr>
        <w:spacing w:line="288" w:lineRule="auto"/>
        <w:ind w:firstLine="420"/>
        <w:jc w:val="left"/>
        <w:rPr>
          <w:rFonts w:ascii="宋体" w:hAnsi="宋体" w:eastAsia="宋体" w:cs="Arial"/>
          <w:szCs w:val="21"/>
        </w:rPr>
      </w:pPr>
      <w:r>
        <w:rPr>
          <w:rFonts w:ascii="宋体" w:hAnsi="宋体" w:eastAsia="宋体" w:cs="Arial"/>
          <w:szCs w:val="21"/>
        </w:rPr>
        <w:t>净零目标、路径和举措制定应遵循公平份额原则，考虑以下内容：</w:t>
      </w:r>
    </w:p>
    <w:p w14:paraId="3C0E9025">
      <w:pPr>
        <w:pStyle w:val="18"/>
        <w:numPr>
          <w:ilvl w:val="0"/>
          <w:numId w:val="6"/>
        </w:numPr>
        <w:ind w:firstLineChars="0"/>
        <w:jc w:val="left"/>
        <w:rPr>
          <w:rFonts w:ascii="宋体" w:hAnsi="宋体" w:eastAsia="宋体" w:cs="Arial"/>
          <w:szCs w:val="21"/>
        </w:rPr>
      </w:pPr>
      <w:r>
        <w:rPr>
          <w:rFonts w:ascii="宋体" w:hAnsi="宋体" w:eastAsia="宋体" w:cs="Arial"/>
          <w:szCs w:val="21"/>
        </w:rPr>
        <w:t xml:space="preserve">国家、地方及商业建筑的节能减排政策和规范；  </w:t>
      </w:r>
    </w:p>
    <w:p w14:paraId="15BCA89F">
      <w:pPr>
        <w:pStyle w:val="18"/>
        <w:numPr>
          <w:ilvl w:val="0"/>
          <w:numId w:val="6"/>
        </w:numPr>
        <w:ind w:firstLineChars="0"/>
        <w:jc w:val="left"/>
        <w:rPr>
          <w:rFonts w:ascii="宋体" w:hAnsi="宋体" w:eastAsia="宋体" w:cs="Arial"/>
          <w:szCs w:val="21"/>
        </w:rPr>
      </w:pPr>
      <w:r>
        <w:rPr>
          <w:rFonts w:ascii="宋体" w:hAnsi="宋体" w:eastAsia="宋体" w:cs="Arial"/>
          <w:szCs w:val="21"/>
        </w:rPr>
        <w:t>地区基础设施建设的净零条件</w:t>
      </w:r>
    </w:p>
    <w:p w14:paraId="019D92B0">
      <w:pPr>
        <w:pStyle w:val="18"/>
        <w:numPr>
          <w:ilvl w:val="0"/>
          <w:numId w:val="6"/>
        </w:numPr>
        <w:ind w:firstLineChars="0"/>
        <w:jc w:val="left"/>
        <w:rPr>
          <w:rFonts w:ascii="宋体" w:hAnsi="宋体" w:eastAsia="宋体" w:cs="Arial"/>
          <w:szCs w:val="21"/>
        </w:rPr>
      </w:pPr>
      <w:r>
        <w:rPr>
          <w:rFonts w:ascii="宋体" w:hAnsi="宋体" w:eastAsia="宋体" w:cs="Arial"/>
          <w:szCs w:val="21"/>
        </w:rPr>
        <w:t>行业领先规范</w:t>
      </w:r>
    </w:p>
    <w:p w14:paraId="151122E3">
      <w:pPr>
        <w:pStyle w:val="18"/>
        <w:numPr>
          <w:ilvl w:val="0"/>
          <w:numId w:val="6"/>
        </w:numPr>
        <w:ind w:firstLineChars="0"/>
        <w:jc w:val="left"/>
        <w:rPr>
          <w:rFonts w:ascii="宋体" w:hAnsi="宋体" w:eastAsia="宋体" w:cs="Arial"/>
          <w:szCs w:val="21"/>
        </w:rPr>
      </w:pPr>
      <w:r>
        <w:rPr>
          <w:rFonts w:ascii="宋体" w:hAnsi="宋体" w:eastAsia="宋体" w:cs="Arial"/>
          <w:szCs w:val="21"/>
        </w:rPr>
        <w:t>行业标杆建筑能效水平</w:t>
      </w:r>
    </w:p>
    <w:p w14:paraId="4D7413BD">
      <w:pPr>
        <w:pStyle w:val="18"/>
        <w:numPr>
          <w:ilvl w:val="0"/>
          <w:numId w:val="6"/>
        </w:numPr>
        <w:ind w:firstLineChars="0"/>
        <w:jc w:val="left"/>
        <w:rPr>
          <w:rFonts w:ascii="宋体" w:hAnsi="宋体" w:eastAsia="宋体" w:cs="Arial"/>
          <w:szCs w:val="21"/>
        </w:rPr>
      </w:pPr>
      <w:r>
        <w:rPr>
          <w:rFonts w:ascii="宋体" w:hAnsi="宋体" w:eastAsia="宋体" w:cs="Arial"/>
          <w:szCs w:val="21"/>
        </w:rPr>
        <w:t>行业当前与未来资源和技术</w:t>
      </w:r>
    </w:p>
    <w:p w14:paraId="7926249E">
      <w:pPr>
        <w:pStyle w:val="18"/>
        <w:numPr>
          <w:ilvl w:val="0"/>
          <w:numId w:val="6"/>
        </w:numPr>
        <w:ind w:firstLineChars="0"/>
        <w:jc w:val="left"/>
        <w:rPr>
          <w:rFonts w:ascii="宋体" w:hAnsi="宋体" w:eastAsia="宋体" w:cs="Arial"/>
          <w:szCs w:val="21"/>
        </w:rPr>
      </w:pPr>
      <w:r>
        <w:rPr>
          <w:rFonts w:ascii="宋体" w:hAnsi="宋体" w:eastAsia="宋体" w:cs="Arial"/>
          <w:szCs w:val="21"/>
        </w:rPr>
        <w:t>同行业历史和当前温室气体排放</w:t>
      </w:r>
    </w:p>
    <w:p w14:paraId="4757B995">
      <w:pPr>
        <w:pStyle w:val="18"/>
        <w:numPr>
          <w:ilvl w:val="0"/>
          <w:numId w:val="6"/>
        </w:numPr>
        <w:ind w:firstLineChars="0"/>
        <w:jc w:val="left"/>
        <w:rPr>
          <w:rFonts w:ascii="宋体" w:hAnsi="宋体" w:eastAsia="宋体" w:cs="Arial"/>
          <w:szCs w:val="21"/>
        </w:rPr>
      </w:pPr>
      <w:r>
        <w:rPr>
          <w:rFonts w:ascii="宋体" w:hAnsi="宋体" w:eastAsia="宋体" w:cs="Arial"/>
          <w:szCs w:val="21"/>
        </w:rPr>
        <w:t>自身对行业的带动效应</w:t>
      </w:r>
    </w:p>
    <w:p w14:paraId="0B777075">
      <w:pPr>
        <w:pStyle w:val="18"/>
        <w:numPr>
          <w:ilvl w:val="0"/>
          <w:numId w:val="6"/>
        </w:numPr>
        <w:ind w:firstLineChars="0"/>
        <w:jc w:val="left"/>
        <w:rPr>
          <w:rFonts w:ascii="宋体" w:hAnsi="宋体" w:eastAsia="宋体" w:cs="Arial"/>
          <w:szCs w:val="21"/>
        </w:rPr>
      </w:pPr>
      <w:r>
        <w:rPr>
          <w:rFonts w:ascii="宋体" w:hAnsi="宋体" w:eastAsia="宋体" w:cs="Arial"/>
          <w:szCs w:val="21"/>
        </w:rPr>
        <w:t>建筑历史温室气体排放量和排放构成</w:t>
      </w:r>
    </w:p>
    <w:p w14:paraId="0021FE7E">
      <w:pPr>
        <w:spacing w:line="288" w:lineRule="auto"/>
        <w:ind w:left="420" w:leftChars="200"/>
        <w:jc w:val="left"/>
        <w:rPr>
          <w:rFonts w:ascii="宋体" w:hAnsi="宋体" w:eastAsia="宋体"/>
          <w:sz w:val="18"/>
          <w:szCs w:val="18"/>
        </w:rPr>
      </w:pPr>
      <w:r>
        <w:rPr>
          <w:rFonts w:ascii="黑体" w:hAnsi="黑体" w:eastAsia="黑体" w:cs="Arial"/>
          <w:sz w:val="18"/>
          <w:szCs w:val="18"/>
        </w:rPr>
        <w:t>注：</w:t>
      </w:r>
      <w:r>
        <w:rPr>
          <w:rFonts w:ascii="宋体" w:hAnsi="宋体" w:eastAsia="宋体" w:cs="Arial"/>
          <w:sz w:val="18"/>
          <w:szCs w:val="18"/>
        </w:rPr>
        <w:t>公平份额指在确定其对全球温室气体减排目标的贡献时，应考虑其资源、技术、历史温室气体排放量、所在地区的社会经济状况以及其在特定地区或行业中的历史责任等因素，以确保公平和公正地分担减排责任。</w:t>
      </w:r>
    </w:p>
    <w:p w14:paraId="332CCDEA">
      <w:pPr>
        <w:spacing w:before="120" w:beforeLines="50" w:after="120" w:afterLines="50"/>
        <w:rPr>
          <w:rFonts w:ascii="黑体" w:hAnsi="黑体" w:eastAsia="黑体" w:cs="Times New Roman"/>
          <w:szCs w:val="24"/>
          <w14:ligatures w14:val="none"/>
        </w:rPr>
      </w:pPr>
      <w:bookmarkStart w:id="29" w:name="heading_17"/>
      <w:r>
        <w:rPr>
          <w:rFonts w:ascii="黑体" w:hAnsi="黑体" w:eastAsia="黑体" w:cs="Times New Roman"/>
          <w:szCs w:val="24"/>
          <w14:ligatures w14:val="none"/>
        </w:rPr>
        <w:t>4.3.2 净零目标与路径设定</w:t>
      </w:r>
      <w:bookmarkEnd w:id="29"/>
    </w:p>
    <w:p w14:paraId="58E44EF1">
      <w:pPr>
        <w:spacing w:line="288" w:lineRule="auto"/>
        <w:ind w:firstLine="420"/>
        <w:jc w:val="left"/>
        <w:rPr>
          <w:rFonts w:ascii="宋体" w:hAnsi="宋体" w:eastAsia="宋体" w:cs="Arial"/>
          <w:szCs w:val="21"/>
        </w:rPr>
      </w:pPr>
      <w:r>
        <w:rPr>
          <w:rFonts w:ascii="宋体" w:hAnsi="宋体" w:eastAsia="宋体" w:cs="Arial"/>
          <w:szCs w:val="21"/>
        </w:rPr>
        <w:t>建筑业主应遵</w:t>
      </w:r>
      <w:r>
        <w:rPr>
          <w:rFonts w:ascii="宋体" w:hAnsi="宋体" w:eastAsia="宋体" w:cs="Arial"/>
          <w:szCs w:val="21"/>
          <w:highlight w:val="yellow"/>
        </w:rPr>
        <w:t>循附件</w:t>
      </w:r>
      <w:r>
        <w:rPr>
          <w:rFonts w:hint="eastAsia" w:ascii="宋体" w:hAnsi="宋体" w:eastAsia="宋体" w:cs="Arial"/>
          <w:szCs w:val="21"/>
          <w:highlight w:val="yellow"/>
        </w:rPr>
        <w:t>A</w:t>
      </w:r>
      <w:r>
        <w:rPr>
          <w:rFonts w:ascii="宋体" w:hAnsi="宋体" w:eastAsia="宋体" w:cs="Arial"/>
          <w:szCs w:val="21"/>
          <w:highlight w:val="yellow"/>
        </w:rPr>
        <w:t>中</w:t>
      </w:r>
      <w:r>
        <w:rPr>
          <w:rFonts w:ascii="宋体" w:hAnsi="宋体" w:eastAsia="宋体" w:cs="Arial"/>
          <w:szCs w:val="21"/>
        </w:rPr>
        <w:t>的建筑碳核算方法，对参评建筑的范围1、2排放，以及范围3关键类别排放（核算边界的界定可参考</w:t>
      </w:r>
      <w:r>
        <w:rPr>
          <w:rFonts w:ascii="宋体" w:hAnsi="宋体" w:eastAsia="宋体" w:cs="Arial"/>
          <w:szCs w:val="21"/>
          <w:highlight w:val="yellow"/>
        </w:rPr>
        <w:t>附录A</w:t>
      </w:r>
      <w:r>
        <w:rPr>
          <w:rFonts w:ascii="宋体" w:hAnsi="宋体" w:eastAsia="宋体" w:cs="Arial"/>
          <w:szCs w:val="21"/>
        </w:rPr>
        <w:t>）进行核算，建立基准年温室气体排放源清册，确定基准年温室气体排放量。</w:t>
      </w:r>
    </w:p>
    <w:p w14:paraId="49B55FF9">
      <w:pPr>
        <w:spacing w:line="288" w:lineRule="auto"/>
        <w:ind w:firstLine="420"/>
        <w:jc w:val="left"/>
        <w:rPr>
          <w:rFonts w:ascii="宋体" w:hAnsi="宋体" w:eastAsia="宋体" w:cs="Arial"/>
          <w:szCs w:val="21"/>
        </w:rPr>
      </w:pPr>
      <w:r>
        <w:rPr>
          <w:rFonts w:ascii="宋体" w:hAnsi="宋体" w:eastAsia="宋体" w:cs="Arial"/>
          <w:szCs w:val="21"/>
        </w:rPr>
        <w:t>建筑业主应基于公平份额原则，设定净零目标，其应满足以下要求：</w:t>
      </w:r>
    </w:p>
    <w:p w14:paraId="4E2FA6ED">
      <w:pPr>
        <w:pStyle w:val="18"/>
        <w:numPr>
          <w:ilvl w:val="0"/>
          <w:numId w:val="7"/>
        </w:numPr>
        <w:ind w:firstLineChars="0"/>
        <w:jc w:val="left"/>
        <w:rPr>
          <w:rFonts w:ascii="宋体" w:hAnsi="宋体" w:eastAsia="宋体" w:cs="Arial"/>
          <w:szCs w:val="21"/>
        </w:rPr>
      </w:pPr>
      <w:r>
        <w:rPr>
          <w:rFonts w:ascii="宋体" w:hAnsi="宋体" w:eastAsia="宋体" w:cs="Arial"/>
          <w:szCs w:val="21"/>
        </w:rPr>
        <w:t>承诺不晚于2050年实现建筑达成净零状态。</w:t>
      </w:r>
    </w:p>
    <w:p w14:paraId="1523B947">
      <w:pPr>
        <w:pStyle w:val="18"/>
        <w:numPr>
          <w:ilvl w:val="0"/>
          <w:numId w:val="7"/>
        </w:numPr>
        <w:ind w:firstLineChars="0"/>
        <w:jc w:val="left"/>
        <w:rPr>
          <w:rFonts w:ascii="宋体" w:hAnsi="宋体" w:eastAsia="宋体" w:cs="Arial"/>
          <w:szCs w:val="21"/>
        </w:rPr>
      </w:pPr>
      <w:r>
        <w:rPr>
          <w:rFonts w:ascii="宋体" w:hAnsi="宋体" w:eastAsia="宋体" w:cs="Arial"/>
          <w:szCs w:val="21"/>
        </w:rPr>
        <w:t>净零边界包括完整建筑区域。</w:t>
      </w:r>
    </w:p>
    <w:p w14:paraId="168790D8">
      <w:pPr>
        <w:pStyle w:val="18"/>
        <w:numPr>
          <w:ilvl w:val="0"/>
          <w:numId w:val="7"/>
        </w:numPr>
        <w:ind w:firstLineChars="0"/>
        <w:jc w:val="left"/>
        <w:rPr>
          <w:rFonts w:ascii="宋体" w:hAnsi="宋体" w:eastAsia="宋体" w:cs="Arial"/>
          <w:szCs w:val="21"/>
        </w:rPr>
      </w:pPr>
      <w:r>
        <w:rPr>
          <w:rFonts w:ascii="宋体" w:hAnsi="宋体" w:eastAsia="宋体" w:cs="Arial"/>
          <w:szCs w:val="21"/>
        </w:rPr>
        <w:t>每隔2至5年设定中期目标。</w:t>
      </w:r>
    </w:p>
    <w:p w14:paraId="69CC5CD9">
      <w:pPr>
        <w:pStyle w:val="18"/>
        <w:numPr>
          <w:ilvl w:val="0"/>
          <w:numId w:val="7"/>
        </w:numPr>
        <w:ind w:firstLineChars="0"/>
        <w:jc w:val="left"/>
        <w:rPr>
          <w:rFonts w:ascii="宋体" w:hAnsi="宋体" w:eastAsia="宋体" w:cs="Arial"/>
          <w:szCs w:val="21"/>
        </w:rPr>
      </w:pPr>
      <w:r>
        <w:rPr>
          <w:rFonts w:ascii="宋体" w:hAnsi="宋体" w:eastAsia="宋体" w:cs="Arial"/>
          <w:szCs w:val="21"/>
        </w:rPr>
        <w:t>明确特定时间范围内的年均减排速率（基于基准年）；</w:t>
      </w:r>
    </w:p>
    <w:p w14:paraId="6012DB61">
      <w:pPr>
        <w:spacing w:line="288" w:lineRule="auto"/>
        <w:ind w:left="420" w:leftChars="200"/>
        <w:jc w:val="left"/>
        <w:rPr>
          <w:rFonts w:ascii="宋体" w:hAnsi="宋体" w:eastAsia="宋体" w:cs="Arial"/>
          <w:sz w:val="18"/>
          <w:szCs w:val="18"/>
        </w:rPr>
      </w:pPr>
      <w:r>
        <w:rPr>
          <w:rFonts w:ascii="黑体" w:hAnsi="黑体" w:eastAsia="黑体" w:cs="Arial"/>
          <w:sz w:val="18"/>
          <w:szCs w:val="18"/>
        </w:rPr>
        <w:t>注1：</w:t>
      </w:r>
      <w:r>
        <w:rPr>
          <w:rFonts w:ascii="宋体" w:hAnsi="宋体" w:eastAsia="宋体" w:cs="Arial"/>
          <w:sz w:val="18"/>
          <w:szCs w:val="18"/>
        </w:rPr>
        <w:t>建筑碳排放核算边界见附录A。</w:t>
      </w:r>
    </w:p>
    <w:p w14:paraId="4E76FD51">
      <w:pPr>
        <w:spacing w:line="288" w:lineRule="auto"/>
        <w:ind w:left="420" w:leftChars="200"/>
        <w:jc w:val="left"/>
        <w:rPr>
          <w:rFonts w:ascii="宋体" w:hAnsi="宋体" w:eastAsia="宋体" w:cs="Arial"/>
          <w:sz w:val="18"/>
          <w:szCs w:val="18"/>
        </w:rPr>
      </w:pPr>
      <w:r>
        <w:rPr>
          <w:rFonts w:ascii="黑体" w:hAnsi="黑体" w:eastAsia="黑体" w:cs="Arial"/>
          <w:sz w:val="18"/>
          <w:szCs w:val="18"/>
        </w:rPr>
        <w:t>注2：</w:t>
      </w:r>
      <w:r>
        <w:rPr>
          <w:rFonts w:ascii="宋体" w:hAnsi="宋体" w:eastAsia="宋体" w:cs="Arial"/>
          <w:sz w:val="18"/>
          <w:szCs w:val="18"/>
        </w:rPr>
        <w:t>净零目标应参考实现《巴黎协定》及其后继的联合国全球协定目标，以及WGBC对于建筑行业净零目标设定的建议。</w:t>
      </w:r>
    </w:p>
    <w:p w14:paraId="45E0E78A">
      <w:pPr>
        <w:spacing w:line="288" w:lineRule="auto"/>
        <w:ind w:firstLine="420"/>
        <w:jc w:val="left"/>
        <w:rPr>
          <w:rFonts w:ascii="宋体" w:hAnsi="宋体" w:eastAsia="宋体" w:cs="Arial"/>
          <w:szCs w:val="21"/>
        </w:rPr>
      </w:pPr>
      <w:r>
        <w:rPr>
          <w:rFonts w:ascii="宋体" w:hAnsi="宋体" w:eastAsia="宋体" w:cs="Arial"/>
          <w:szCs w:val="21"/>
        </w:rPr>
        <w:t>建筑业主应</w:t>
      </w:r>
      <w:r>
        <w:rPr>
          <w:rFonts w:hint="eastAsia" w:ascii="宋体" w:hAnsi="宋体" w:eastAsia="宋体" w:cs="Arial"/>
          <w:szCs w:val="21"/>
        </w:rPr>
        <w:t>基于既定目标制定净零举措</w:t>
      </w:r>
      <w:r>
        <w:rPr>
          <w:rFonts w:ascii="宋体" w:hAnsi="宋体" w:eastAsia="宋体" w:cs="Arial"/>
          <w:szCs w:val="21"/>
        </w:rPr>
        <w:t>，应满足以下要求：</w:t>
      </w:r>
    </w:p>
    <w:p w14:paraId="601F6E2D">
      <w:pPr>
        <w:pStyle w:val="18"/>
        <w:numPr>
          <w:ilvl w:val="0"/>
          <w:numId w:val="8"/>
        </w:numPr>
        <w:ind w:firstLineChars="0"/>
        <w:jc w:val="left"/>
        <w:rPr>
          <w:rFonts w:ascii="宋体" w:hAnsi="宋体" w:eastAsia="宋体" w:cs="Arial"/>
          <w:szCs w:val="21"/>
        </w:rPr>
      </w:pPr>
      <w:r>
        <w:rPr>
          <w:rFonts w:ascii="宋体" w:hAnsi="宋体" w:eastAsia="宋体" w:cs="Arial"/>
          <w:szCs w:val="21"/>
        </w:rPr>
        <w:t>明确具体的碳减排举措，如相关系统/设备/技术，</w:t>
      </w:r>
    </w:p>
    <w:p w14:paraId="30D29468">
      <w:pPr>
        <w:pStyle w:val="18"/>
        <w:numPr>
          <w:ilvl w:val="0"/>
          <w:numId w:val="8"/>
        </w:numPr>
        <w:ind w:firstLineChars="0"/>
        <w:jc w:val="left"/>
        <w:rPr>
          <w:rFonts w:ascii="宋体" w:hAnsi="宋体" w:eastAsia="宋体" w:cs="Arial"/>
          <w:szCs w:val="21"/>
        </w:rPr>
      </w:pPr>
      <w:r>
        <w:rPr>
          <w:rFonts w:ascii="宋体" w:hAnsi="宋体" w:eastAsia="宋体" w:cs="Arial"/>
          <w:szCs w:val="21"/>
        </w:rPr>
        <w:t>明确各项减排举措实施的起止时间；</w:t>
      </w:r>
    </w:p>
    <w:p w14:paraId="19942E61">
      <w:pPr>
        <w:pStyle w:val="18"/>
        <w:numPr>
          <w:ilvl w:val="0"/>
          <w:numId w:val="8"/>
        </w:numPr>
        <w:ind w:firstLineChars="0"/>
        <w:jc w:val="left"/>
        <w:rPr>
          <w:rFonts w:ascii="宋体" w:hAnsi="宋体" w:eastAsia="宋体" w:cs="Arial"/>
          <w:szCs w:val="21"/>
        </w:rPr>
      </w:pPr>
      <w:r>
        <w:rPr>
          <w:rFonts w:ascii="宋体" w:hAnsi="宋体" w:eastAsia="宋体" w:cs="Arial"/>
          <w:szCs w:val="21"/>
        </w:rPr>
        <w:t>说明各项碳减排举措预计达到的减排效果；</w:t>
      </w:r>
    </w:p>
    <w:p w14:paraId="64C3F57C">
      <w:pPr>
        <w:pStyle w:val="18"/>
        <w:numPr>
          <w:ilvl w:val="0"/>
          <w:numId w:val="8"/>
        </w:numPr>
        <w:ind w:firstLineChars="0"/>
        <w:jc w:val="left"/>
        <w:rPr>
          <w:rFonts w:ascii="宋体" w:hAnsi="宋体" w:eastAsia="宋体" w:cs="Arial"/>
          <w:szCs w:val="21"/>
        </w:rPr>
      </w:pPr>
      <w:r>
        <w:rPr>
          <w:rFonts w:ascii="宋体" w:hAnsi="宋体" w:eastAsia="宋体" w:cs="Arial"/>
          <w:szCs w:val="21"/>
        </w:rPr>
        <w:t>简要说明碳减排措施将如何达成预期成果。</w:t>
      </w:r>
    </w:p>
    <w:p w14:paraId="4CAD835E">
      <w:pPr>
        <w:spacing w:line="288" w:lineRule="auto"/>
        <w:ind w:left="420" w:leftChars="200"/>
        <w:jc w:val="left"/>
        <w:rPr>
          <w:rFonts w:ascii="宋体" w:hAnsi="宋体" w:eastAsia="宋体" w:cs="Arial"/>
          <w:sz w:val="18"/>
          <w:szCs w:val="18"/>
        </w:rPr>
      </w:pPr>
      <w:r>
        <w:rPr>
          <w:rFonts w:ascii="黑体" w:hAnsi="黑体" w:eastAsia="黑体" w:cs="Arial"/>
          <w:sz w:val="18"/>
          <w:szCs w:val="18"/>
        </w:rPr>
        <w:t>注：</w:t>
      </w:r>
      <w:r>
        <w:rPr>
          <w:rFonts w:ascii="宋体" w:hAnsi="宋体" w:eastAsia="宋体" w:cs="Arial"/>
          <w:sz w:val="18"/>
          <w:szCs w:val="18"/>
        </w:rPr>
        <w:t>建筑业主应持续调整净零路径以保持与最新科学发现、科学实证和研究成果，结合公认的良好实践做法协调；</w:t>
      </w:r>
    </w:p>
    <w:p w14:paraId="37958783">
      <w:pPr>
        <w:spacing w:line="288" w:lineRule="auto"/>
        <w:ind w:firstLine="420"/>
        <w:jc w:val="left"/>
        <w:rPr>
          <w:rFonts w:ascii="宋体" w:hAnsi="宋体" w:eastAsia="宋体" w:cs="Arial"/>
          <w:szCs w:val="21"/>
        </w:rPr>
      </w:pPr>
      <w:r>
        <w:rPr>
          <w:rFonts w:ascii="宋体" w:hAnsi="宋体" w:eastAsia="宋体" w:cs="Arial"/>
          <w:szCs w:val="21"/>
        </w:rPr>
        <w:t>建筑业主应披露净零目标承诺与净零路径，</w:t>
      </w:r>
      <w:r>
        <w:rPr>
          <w:rFonts w:ascii="宋体" w:hAnsi="宋体" w:eastAsia="宋体" w:cs="Arial"/>
          <w:szCs w:val="21"/>
          <w:highlight w:val="yellow"/>
        </w:rPr>
        <w:t>可参考附件</w:t>
      </w:r>
      <w:r>
        <w:rPr>
          <w:rFonts w:hint="eastAsia" w:ascii="宋体" w:hAnsi="宋体" w:eastAsia="宋体" w:cs="Arial"/>
          <w:szCs w:val="21"/>
          <w:highlight w:val="yellow"/>
        </w:rPr>
        <w:t>C</w:t>
      </w:r>
      <w:r>
        <w:rPr>
          <w:rFonts w:ascii="宋体" w:hAnsi="宋体" w:eastAsia="宋体" w:cs="Arial"/>
          <w:szCs w:val="21"/>
          <w:highlight w:val="yellow"/>
        </w:rPr>
        <w:t>。</w:t>
      </w:r>
    </w:p>
    <w:p w14:paraId="7E7C88AC">
      <w:pPr>
        <w:spacing w:line="288" w:lineRule="auto"/>
        <w:ind w:firstLine="420"/>
        <w:jc w:val="left"/>
        <w:rPr>
          <w:rFonts w:ascii="宋体" w:hAnsi="宋体" w:eastAsia="宋体" w:cs="Arial"/>
          <w:szCs w:val="21"/>
        </w:rPr>
      </w:pPr>
      <w:r>
        <w:rPr>
          <w:rFonts w:ascii="宋体" w:hAnsi="宋体" w:eastAsia="宋体" w:cs="Arial"/>
          <w:szCs w:val="21"/>
        </w:rPr>
        <w:t>建筑业主应将建设净零建筑目标纳入核心管理文件。</w:t>
      </w:r>
    </w:p>
    <w:p w14:paraId="0A9437C2">
      <w:pPr>
        <w:spacing w:before="120" w:beforeLines="50" w:after="120" w:afterLines="50"/>
        <w:rPr>
          <w:rFonts w:ascii="黑体" w:hAnsi="黑体" w:eastAsia="黑体" w:cs="Times New Roman"/>
          <w:szCs w:val="24"/>
          <w14:ligatures w14:val="none"/>
        </w:rPr>
      </w:pPr>
      <w:bookmarkStart w:id="30" w:name="heading_18"/>
      <w:r>
        <w:rPr>
          <w:rFonts w:ascii="黑体" w:hAnsi="黑体" w:eastAsia="黑体" w:cs="Times New Roman"/>
          <w:szCs w:val="24"/>
          <w14:ligatures w14:val="none"/>
        </w:rPr>
        <w:t>4.3.3 净零举措实施</w:t>
      </w:r>
      <w:bookmarkEnd w:id="30"/>
    </w:p>
    <w:p w14:paraId="732BB7F5">
      <w:pPr>
        <w:spacing w:before="120" w:beforeLines="50" w:after="120" w:afterLines="50"/>
        <w:rPr>
          <w:rFonts w:ascii="黑体" w:hAnsi="黑体" w:eastAsia="黑体" w:cs="Times New Roman"/>
          <w:szCs w:val="24"/>
          <w14:ligatures w14:val="none"/>
        </w:rPr>
      </w:pPr>
      <w:bookmarkStart w:id="31" w:name="heading_19"/>
      <w:r>
        <w:rPr>
          <w:rFonts w:ascii="黑体" w:hAnsi="黑体" w:eastAsia="黑体" w:cs="Times New Roman"/>
          <w:szCs w:val="24"/>
          <w14:ligatures w14:val="none"/>
        </w:rPr>
        <w:t>4.3.3.1 通则</w:t>
      </w:r>
      <w:bookmarkEnd w:id="31"/>
    </w:p>
    <w:p w14:paraId="6F3D31D4">
      <w:pPr>
        <w:spacing w:line="288" w:lineRule="auto"/>
        <w:ind w:firstLine="420"/>
        <w:jc w:val="left"/>
        <w:rPr>
          <w:rFonts w:ascii="宋体" w:hAnsi="宋体" w:eastAsia="宋体"/>
          <w:szCs w:val="21"/>
        </w:rPr>
      </w:pPr>
      <w:r>
        <w:rPr>
          <w:rFonts w:ascii="宋体" w:hAnsi="宋体" w:eastAsia="宋体" w:cs="Arial"/>
          <w:szCs w:val="21"/>
        </w:rPr>
        <w:t>建筑业主应基于净零目标和净零路径规划开展净零行动，应按照碳减排、碳</w:t>
      </w:r>
      <w:r>
        <w:rPr>
          <w:rFonts w:hint="eastAsia" w:ascii="宋体" w:hAnsi="宋体" w:eastAsia="宋体" w:cs="Arial"/>
          <w:szCs w:val="21"/>
        </w:rPr>
        <w:t>清除</w:t>
      </w:r>
      <w:r>
        <w:rPr>
          <w:rFonts w:ascii="宋体" w:hAnsi="宋体" w:eastAsia="宋体" w:cs="Arial"/>
          <w:szCs w:val="21"/>
        </w:rPr>
        <w:t>和碳抵消的方式开展，确保最终实现整个建筑的净零排放。</w:t>
      </w:r>
    </w:p>
    <w:p w14:paraId="19AD8DBA">
      <w:pPr>
        <w:spacing w:line="288" w:lineRule="auto"/>
        <w:ind w:firstLine="420"/>
        <w:jc w:val="left"/>
        <w:rPr>
          <w:rFonts w:ascii="宋体" w:hAnsi="宋体" w:eastAsia="宋体"/>
          <w:szCs w:val="21"/>
        </w:rPr>
      </w:pPr>
      <w:r>
        <w:rPr>
          <w:rFonts w:ascii="宋体" w:hAnsi="宋体" w:eastAsia="宋体" w:cs="Arial"/>
          <w:szCs w:val="21"/>
        </w:rPr>
        <w:t>建筑业主应定期开展净零行动披露，宜参考附录6的披露内容指引。</w:t>
      </w:r>
    </w:p>
    <w:p w14:paraId="3222C7DA">
      <w:pPr>
        <w:spacing w:before="120" w:beforeLines="50" w:after="120" w:afterLines="50"/>
        <w:rPr>
          <w:rFonts w:ascii="黑体" w:hAnsi="黑体" w:eastAsia="黑体" w:cs="Times New Roman"/>
          <w:szCs w:val="24"/>
          <w14:ligatures w14:val="none"/>
        </w:rPr>
      </w:pPr>
      <w:bookmarkStart w:id="32" w:name="heading_20"/>
      <w:r>
        <w:rPr>
          <w:rFonts w:ascii="黑体" w:hAnsi="黑体" w:eastAsia="黑体" w:cs="Times New Roman"/>
          <w:szCs w:val="24"/>
          <w14:ligatures w14:val="none"/>
        </w:rPr>
        <w:t>4.3.3.2 碳减排</w:t>
      </w:r>
      <w:bookmarkEnd w:id="32"/>
    </w:p>
    <w:p w14:paraId="7B59C145">
      <w:pPr>
        <w:spacing w:line="288" w:lineRule="auto"/>
        <w:ind w:firstLine="420"/>
        <w:jc w:val="left"/>
        <w:rPr>
          <w:rFonts w:ascii="宋体" w:hAnsi="宋体" w:eastAsia="宋体"/>
          <w:szCs w:val="21"/>
        </w:rPr>
      </w:pPr>
      <w:r>
        <w:rPr>
          <w:rFonts w:ascii="宋体" w:hAnsi="宋体" w:eastAsia="宋体" w:cs="Arial"/>
          <w:szCs w:val="21"/>
        </w:rPr>
        <w:t>建筑业主应基于净零目标与净零路径计划，应优先实施科学可行的碳减排举措，以实现建筑碳足迹的最小化，应关注以下方面：</w:t>
      </w:r>
    </w:p>
    <w:p w14:paraId="2E31D717">
      <w:pPr>
        <w:pStyle w:val="18"/>
        <w:numPr>
          <w:ilvl w:val="0"/>
          <w:numId w:val="9"/>
        </w:numPr>
        <w:ind w:firstLineChars="0"/>
        <w:jc w:val="left"/>
        <w:rPr>
          <w:rFonts w:ascii="宋体" w:hAnsi="宋体" w:eastAsia="宋体" w:cs="Arial"/>
          <w:szCs w:val="21"/>
        </w:rPr>
      </w:pPr>
      <w:r>
        <w:rPr>
          <w:rFonts w:ascii="宋体" w:hAnsi="宋体" w:eastAsia="宋体" w:cs="Arial"/>
          <w:szCs w:val="21"/>
        </w:rPr>
        <w:t>通过使用高效节能灯具、节能暖通空调设备、配备智慧管理平台等方式，提升建筑能效水平以减低能源消耗，确保建筑物尽可能高效地运行；</w:t>
      </w:r>
    </w:p>
    <w:p w14:paraId="1A6223E6">
      <w:pPr>
        <w:pStyle w:val="18"/>
        <w:numPr>
          <w:ilvl w:val="0"/>
          <w:numId w:val="9"/>
        </w:numPr>
        <w:ind w:firstLineChars="0"/>
        <w:jc w:val="left"/>
        <w:rPr>
          <w:rFonts w:ascii="宋体" w:hAnsi="宋体" w:eastAsia="宋体" w:cs="Arial"/>
          <w:szCs w:val="21"/>
        </w:rPr>
      </w:pPr>
      <w:r>
        <w:rPr>
          <w:rFonts w:ascii="宋体" w:hAnsi="宋体" w:eastAsia="宋体" w:cs="Arial"/>
          <w:szCs w:val="21"/>
        </w:rPr>
        <w:t>通过自建光伏设施、光伏建筑一体化改造、可再生能源微网系统，并利用蓄能、用能设备协同控制技术，提升可再生能源利用率；</w:t>
      </w:r>
    </w:p>
    <w:p w14:paraId="43297BB4">
      <w:pPr>
        <w:pStyle w:val="18"/>
        <w:numPr>
          <w:ilvl w:val="0"/>
          <w:numId w:val="9"/>
        </w:numPr>
        <w:ind w:firstLineChars="0"/>
        <w:jc w:val="left"/>
        <w:rPr>
          <w:rFonts w:ascii="宋体" w:hAnsi="宋体" w:eastAsia="宋体" w:cs="Arial"/>
          <w:szCs w:val="21"/>
        </w:rPr>
      </w:pPr>
      <w:r>
        <w:rPr>
          <w:rFonts w:ascii="宋体" w:hAnsi="宋体" w:eastAsia="宋体" w:cs="Arial"/>
          <w:szCs w:val="21"/>
        </w:rPr>
        <w:t>提升建筑碳排放管理能力、数智化管理水平、资源回收利用管理水平、价值链碳管理能力、绿色采购管理等综合净零管理能力。</w:t>
      </w:r>
    </w:p>
    <w:p w14:paraId="297B733F">
      <w:pPr>
        <w:spacing w:before="120" w:beforeLines="50" w:after="120" w:afterLines="50"/>
        <w:rPr>
          <w:rFonts w:ascii="黑体" w:hAnsi="黑体" w:eastAsia="黑体" w:cs="Times New Roman"/>
          <w:szCs w:val="24"/>
          <w14:ligatures w14:val="none"/>
        </w:rPr>
      </w:pPr>
      <w:bookmarkStart w:id="33" w:name="heading_21"/>
      <w:r>
        <w:rPr>
          <w:rFonts w:ascii="黑体" w:hAnsi="黑体" w:eastAsia="黑体" w:cs="Times New Roman"/>
          <w:szCs w:val="24"/>
          <w14:ligatures w14:val="none"/>
        </w:rPr>
        <w:t>4.3.3.3 碳</w:t>
      </w:r>
      <w:bookmarkEnd w:id="33"/>
      <w:r>
        <w:rPr>
          <w:rFonts w:hint="eastAsia" w:ascii="黑体" w:hAnsi="黑体" w:eastAsia="黑体" w:cs="Times New Roman"/>
          <w:szCs w:val="24"/>
          <w14:ligatures w14:val="none"/>
        </w:rPr>
        <w:t>清除</w:t>
      </w:r>
    </w:p>
    <w:p w14:paraId="0000FCFA">
      <w:pPr>
        <w:spacing w:line="288" w:lineRule="auto"/>
        <w:ind w:firstLine="420"/>
        <w:jc w:val="left"/>
        <w:rPr>
          <w:rFonts w:ascii="宋体" w:hAnsi="宋体" w:eastAsia="宋体"/>
          <w:szCs w:val="21"/>
        </w:rPr>
      </w:pPr>
      <w:r>
        <w:rPr>
          <w:rFonts w:ascii="宋体" w:hAnsi="宋体" w:eastAsia="宋体" w:cs="Arial"/>
          <w:szCs w:val="21"/>
        </w:rPr>
        <w:t>建筑业主在优先考虑碳减排的同时，可通过投资价值链中的高质量碳</w:t>
      </w:r>
      <w:r>
        <w:rPr>
          <w:rFonts w:hint="eastAsia" w:ascii="宋体" w:hAnsi="宋体" w:eastAsia="宋体" w:cs="Arial"/>
          <w:szCs w:val="21"/>
        </w:rPr>
        <w:t>清除</w:t>
      </w:r>
      <w:r>
        <w:rPr>
          <w:rFonts w:ascii="宋体" w:hAnsi="宋体" w:eastAsia="宋体" w:cs="Arial"/>
          <w:szCs w:val="21"/>
        </w:rPr>
        <w:t>项目或应用碳</w:t>
      </w:r>
      <w:r>
        <w:rPr>
          <w:rFonts w:hint="eastAsia" w:ascii="宋体" w:hAnsi="宋体" w:eastAsia="宋体" w:cs="Arial"/>
          <w:szCs w:val="21"/>
        </w:rPr>
        <w:t>清除</w:t>
      </w:r>
      <w:r>
        <w:rPr>
          <w:rFonts w:ascii="宋体" w:hAnsi="宋体" w:eastAsia="宋体" w:cs="Arial"/>
          <w:szCs w:val="21"/>
        </w:rPr>
        <w:t>技术来缓解气候变化（例如使用固碳材料），并应确保是真实存在且是永久或足够持久的碳</w:t>
      </w:r>
      <w:r>
        <w:rPr>
          <w:rFonts w:hint="eastAsia" w:ascii="宋体" w:hAnsi="宋体" w:eastAsia="宋体" w:cs="Arial"/>
          <w:szCs w:val="21"/>
        </w:rPr>
        <w:t>清除</w:t>
      </w:r>
      <w:r>
        <w:rPr>
          <w:rFonts w:ascii="宋体" w:hAnsi="宋体" w:eastAsia="宋体" w:cs="Arial"/>
          <w:szCs w:val="21"/>
        </w:rPr>
        <w:t>。考虑到碳</w:t>
      </w:r>
      <w:r>
        <w:rPr>
          <w:rFonts w:hint="eastAsia" w:ascii="宋体" w:hAnsi="宋体" w:eastAsia="宋体" w:cs="Arial"/>
          <w:szCs w:val="21"/>
        </w:rPr>
        <w:t>清除</w:t>
      </w:r>
      <w:r>
        <w:rPr>
          <w:rFonts w:ascii="宋体" w:hAnsi="宋体" w:eastAsia="宋体" w:cs="Arial"/>
          <w:szCs w:val="21"/>
        </w:rPr>
        <w:t>项目成熟、形成预期规模需要时间较长，更早投资于此类项目是必要的。</w:t>
      </w:r>
    </w:p>
    <w:p w14:paraId="40F5A211">
      <w:pPr>
        <w:spacing w:line="288" w:lineRule="auto"/>
        <w:ind w:left="420" w:leftChars="200"/>
        <w:jc w:val="left"/>
        <w:rPr>
          <w:rFonts w:ascii="宋体" w:hAnsi="宋体" w:eastAsia="宋体" w:cs="Arial"/>
          <w:sz w:val="18"/>
          <w:szCs w:val="18"/>
        </w:rPr>
      </w:pPr>
      <w:r>
        <w:rPr>
          <w:rFonts w:ascii="黑体" w:hAnsi="黑体" w:eastAsia="黑体" w:cs="Arial"/>
          <w:sz w:val="18"/>
          <w:szCs w:val="18"/>
        </w:rPr>
        <w:t>注1：</w:t>
      </w:r>
      <w:r>
        <w:rPr>
          <w:rFonts w:hint="eastAsia" w:ascii="宋体" w:hAnsi="宋体" w:eastAsia="宋体" w:cs="Arial"/>
          <w:sz w:val="18"/>
          <w:szCs w:val="18"/>
        </w:rPr>
        <w:t>清除</w:t>
      </w:r>
      <w:r>
        <w:rPr>
          <w:rFonts w:ascii="宋体" w:hAnsi="宋体" w:eastAsia="宋体" w:cs="Arial"/>
          <w:sz w:val="18"/>
          <w:szCs w:val="18"/>
        </w:rPr>
        <w:t>的碳排放量不计入碳减排绩效。</w:t>
      </w:r>
    </w:p>
    <w:p w14:paraId="2A573634">
      <w:pPr>
        <w:spacing w:line="288" w:lineRule="auto"/>
        <w:ind w:left="420" w:leftChars="200"/>
        <w:jc w:val="left"/>
        <w:rPr>
          <w:rFonts w:ascii="宋体" w:hAnsi="宋体" w:eastAsia="宋体" w:cs="Arial"/>
          <w:sz w:val="18"/>
          <w:szCs w:val="18"/>
        </w:rPr>
      </w:pPr>
      <w:r>
        <w:rPr>
          <w:rFonts w:ascii="黑体" w:hAnsi="黑体" w:eastAsia="黑体" w:cs="Arial"/>
          <w:sz w:val="18"/>
          <w:szCs w:val="18"/>
        </w:rPr>
        <w:t>注2：</w:t>
      </w:r>
      <w:r>
        <w:rPr>
          <w:rFonts w:ascii="宋体" w:hAnsi="宋体" w:eastAsia="宋体" w:cs="Arial"/>
          <w:sz w:val="18"/>
          <w:szCs w:val="18"/>
        </w:rPr>
        <w:t>碳</w:t>
      </w:r>
      <w:r>
        <w:rPr>
          <w:rFonts w:hint="eastAsia" w:ascii="宋体" w:hAnsi="宋体" w:eastAsia="宋体" w:cs="Arial"/>
          <w:sz w:val="18"/>
          <w:szCs w:val="18"/>
        </w:rPr>
        <w:t>清除</w:t>
      </w:r>
      <w:r>
        <w:rPr>
          <w:rFonts w:ascii="宋体" w:hAnsi="宋体" w:eastAsia="宋体" w:cs="Arial"/>
          <w:sz w:val="18"/>
          <w:szCs w:val="18"/>
        </w:rPr>
        <w:t>量应确保未重复计算，且可以进行溯源。</w:t>
      </w:r>
    </w:p>
    <w:p w14:paraId="6EC729ED">
      <w:pPr>
        <w:spacing w:line="288" w:lineRule="auto"/>
        <w:ind w:left="420" w:leftChars="200"/>
        <w:jc w:val="left"/>
        <w:rPr>
          <w:rFonts w:ascii="宋体" w:hAnsi="宋体" w:eastAsia="宋体" w:cs="Arial"/>
          <w:sz w:val="18"/>
          <w:szCs w:val="18"/>
        </w:rPr>
      </w:pPr>
      <w:r>
        <w:rPr>
          <w:rFonts w:ascii="宋体" w:hAnsi="宋体" w:eastAsia="宋体" w:cs="Arial"/>
          <w:sz w:val="18"/>
          <w:szCs w:val="18"/>
        </w:rPr>
        <w:t>净零建筑建立应在实现最大程度降碳之后，即剩余排放等于残留排放，可基于碳</w:t>
      </w:r>
      <w:r>
        <w:rPr>
          <w:rFonts w:hint="eastAsia" w:ascii="宋体" w:hAnsi="宋体" w:eastAsia="宋体" w:cs="Arial"/>
          <w:sz w:val="18"/>
          <w:szCs w:val="18"/>
        </w:rPr>
        <w:t>清除</w:t>
      </w:r>
      <w:r>
        <w:rPr>
          <w:rFonts w:ascii="宋体" w:hAnsi="宋体" w:eastAsia="宋体" w:cs="Arial"/>
          <w:sz w:val="18"/>
          <w:szCs w:val="18"/>
        </w:rPr>
        <w:t>来实现对残留排放的</w:t>
      </w:r>
      <w:r>
        <w:rPr>
          <w:rFonts w:hint="eastAsia" w:ascii="宋体" w:hAnsi="宋体" w:eastAsia="宋体" w:cs="Arial"/>
          <w:sz w:val="18"/>
          <w:szCs w:val="18"/>
        </w:rPr>
        <w:t>平衡</w:t>
      </w:r>
      <w:r>
        <w:rPr>
          <w:rFonts w:ascii="宋体" w:hAnsi="宋体" w:eastAsia="宋体" w:cs="Arial"/>
          <w:sz w:val="18"/>
          <w:szCs w:val="18"/>
        </w:rPr>
        <w:t>。净零排放状态的残留排放量通常不能超过基准排放的5%至10%。</w:t>
      </w:r>
    </w:p>
    <w:p w14:paraId="69A05C69">
      <w:pPr>
        <w:spacing w:line="288" w:lineRule="auto"/>
        <w:ind w:left="420" w:leftChars="200"/>
        <w:jc w:val="left"/>
        <w:rPr>
          <w:rFonts w:ascii="宋体" w:hAnsi="宋体" w:eastAsia="宋体" w:cs="Arial"/>
          <w:sz w:val="18"/>
          <w:szCs w:val="18"/>
        </w:rPr>
      </w:pPr>
      <w:r>
        <w:rPr>
          <w:rFonts w:ascii="黑体" w:hAnsi="黑体" w:eastAsia="黑体" w:cs="Arial"/>
          <w:sz w:val="18"/>
          <w:szCs w:val="18"/>
        </w:rPr>
        <w:t>注3：</w:t>
      </w:r>
      <w:r>
        <w:rPr>
          <w:rFonts w:ascii="宋体" w:hAnsi="宋体" w:eastAsia="宋体" w:cs="Arial"/>
          <w:sz w:val="18"/>
          <w:szCs w:val="18"/>
        </w:rPr>
        <w:t>残留排放在基准年的比例应对齐ISO净零指南的最新释义。</w:t>
      </w:r>
    </w:p>
    <w:p w14:paraId="480616F7">
      <w:pPr>
        <w:spacing w:before="120" w:beforeLines="50" w:after="120" w:afterLines="50"/>
        <w:rPr>
          <w:rFonts w:ascii="黑体" w:hAnsi="黑体" w:eastAsia="黑体" w:cs="Times New Roman"/>
          <w:szCs w:val="24"/>
          <w14:ligatures w14:val="none"/>
        </w:rPr>
      </w:pPr>
      <w:bookmarkStart w:id="34" w:name="heading_22"/>
      <w:r>
        <w:rPr>
          <w:rFonts w:ascii="黑体" w:hAnsi="黑体" w:eastAsia="黑体" w:cs="Times New Roman"/>
          <w:szCs w:val="24"/>
          <w14:ligatures w14:val="none"/>
        </w:rPr>
        <w:t>4.3.3.4 碳抵消</w:t>
      </w:r>
      <w:bookmarkEnd w:id="34"/>
    </w:p>
    <w:p w14:paraId="2CABCE02">
      <w:pPr>
        <w:spacing w:line="288" w:lineRule="auto"/>
        <w:ind w:firstLine="420"/>
        <w:jc w:val="left"/>
        <w:rPr>
          <w:rFonts w:ascii="宋体" w:hAnsi="宋体" w:eastAsia="宋体" w:cs="Arial"/>
          <w:szCs w:val="21"/>
        </w:rPr>
      </w:pPr>
      <w:r>
        <w:rPr>
          <w:rFonts w:ascii="宋体" w:hAnsi="宋体" w:eastAsia="宋体" w:cs="Arial"/>
          <w:szCs w:val="21"/>
        </w:rPr>
        <w:t>建筑业主在最大程度开展碳减排举措和增加碳</w:t>
      </w:r>
      <w:r>
        <w:rPr>
          <w:rFonts w:hint="eastAsia" w:ascii="宋体" w:hAnsi="宋体" w:eastAsia="宋体" w:cs="Arial"/>
          <w:szCs w:val="21"/>
        </w:rPr>
        <w:t>清除</w:t>
      </w:r>
      <w:r>
        <w:rPr>
          <w:rFonts w:ascii="宋体" w:hAnsi="宋体" w:eastAsia="宋体" w:cs="Arial"/>
          <w:szCs w:val="21"/>
        </w:rPr>
        <w:t>的行动，在没有替代方法可用时，可考虑使用价值链以外基于碳</w:t>
      </w:r>
      <w:r>
        <w:rPr>
          <w:rFonts w:hint="eastAsia" w:ascii="宋体" w:hAnsi="宋体" w:eastAsia="宋体" w:cs="Arial"/>
          <w:szCs w:val="21"/>
        </w:rPr>
        <w:t>清除</w:t>
      </w:r>
      <w:r>
        <w:rPr>
          <w:rFonts w:ascii="宋体" w:hAnsi="宋体" w:eastAsia="宋体" w:cs="Arial"/>
          <w:szCs w:val="21"/>
        </w:rPr>
        <w:t>的碳抵消来</w:t>
      </w:r>
      <w:r>
        <w:rPr>
          <w:rFonts w:hint="eastAsia" w:ascii="宋体" w:hAnsi="宋体" w:eastAsia="宋体" w:cs="Arial"/>
          <w:szCs w:val="21"/>
        </w:rPr>
        <w:t>平衡</w:t>
      </w:r>
      <w:r>
        <w:rPr>
          <w:rFonts w:ascii="宋体" w:hAnsi="宋体" w:eastAsia="宋体" w:cs="Arial"/>
          <w:szCs w:val="21"/>
        </w:rPr>
        <w:t>仍然存在的残留排放。</w:t>
      </w:r>
    </w:p>
    <w:p w14:paraId="560AF91E">
      <w:pPr>
        <w:spacing w:line="288" w:lineRule="auto"/>
        <w:ind w:left="420" w:leftChars="200"/>
        <w:jc w:val="left"/>
        <w:rPr>
          <w:rFonts w:ascii="宋体" w:hAnsi="宋体" w:eastAsia="宋体" w:cs="Arial"/>
          <w:sz w:val="18"/>
          <w:szCs w:val="18"/>
        </w:rPr>
      </w:pPr>
      <w:r>
        <w:rPr>
          <w:rFonts w:ascii="黑体" w:hAnsi="黑体" w:eastAsia="黑体" w:cs="Arial"/>
          <w:sz w:val="18"/>
          <w:szCs w:val="18"/>
        </w:rPr>
        <w:t>注1：</w:t>
      </w:r>
      <w:r>
        <w:rPr>
          <w:rFonts w:ascii="宋体" w:hAnsi="宋体" w:eastAsia="宋体" w:cs="Arial"/>
          <w:sz w:val="18"/>
          <w:szCs w:val="18"/>
        </w:rPr>
        <w:t>碳抵消的实施</w:t>
      </w:r>
      <w:r>
        <w:rPr>
          <w:rFonts w:hint="eastAsia" w:ascii="宋体" w:hAnsi="宋体" w:eastAsia="宋体" w:cs="Arial"/>
          <w:sz w:val="18"/>
          <w:szCs w:val="18"/>
        </w:rPr>
        <w:t>和声明</w:t>
      </w:r>
      <w:r>
        <w:rPr>
          <w:rFonts w:ascii="宋体" w:hAnsi="宋体" w:eastAsia="宋体" w:cs="Arial"/>
          <w:sz w:val="18"/>
          <w:szCs w:val="18"/>
        </w:rPr>
        <w:t>应遵循ICVCM</w:t>
      </w:r>
      <w:r>
        <w:rPr>
          <w:rFonts w:hint="eastAsia" w:ascii="宋体" w:hAnsi="宋体" w:eastAsia="宋体" w:cs="Arial"/>
          <w:sz w:val="18"/>
          <w:szCs w:val="18"/>
        </w:rPr>
        <w:t>、</w:t>
      </w:r>
      <w:r>
        <w:rPr>
          <w:rFonts w:ascii="宋体" w:hAnsi="宋体" w:eastAsia="宋体" w:cs="Arial"/>
          <w:sz w:val="18"/>
          <w:szCs w:val="18"/>
        </w:rPr>
        <w:t>VCMI等规范和标准</w:t>
      </w:r>
      <w:r>
        <w:rPr>
          <w:rFonts w:hint="eastAsia" w:ascii="宋体" w:hAnsi="宋体" w:eastAsia="宋体" w:cs="Arial"/>
          <w:sz w:val="18"/>
          <w:szCs w:val="18"/>
        </w:rPr>
        <w:t>的要求</w:t>
      </w:r>
      <w:r>
        <w:rPr>
          <w:rFonts w:ascii="宋体" w:hAnsi="宋体" w:eastAsia="宋体" w:cs="Arial"/>
          <w:sz w:val="18"/>
          <w:szCs w:val="18"/>
        </w:rPr>
        <w:t>。</w:t>
      </w:r>
    </w:p>
    <w:p w14:paraId="7E03DE4B">
      <w:pPr>
        <w:spacing w:line="288" w:lineRule="auto"/>
        <w:ind w:left="420" w:leftChars="200"/>
        <w:jc w:val="left"/>
        <w:rPr>
          <w:rFonts w:ascii="宋体" w:hAnsi="宋体" w:eastAsia="宋体" w:cs="Arial"/>
          <w:sz w:val="18"/>
          <w:szCs w:val="18"/>
        </w:rPr>
      </w:pPr>
      <w:r>
        <w:rPr>
          <w:rFonts w:ascii="黑体" w:hAnsi="黑体" w:eastAsia="黑体" w:cs="Arial"/>
          <w:sz w:val="18"/>
          <w:szCs w:val="18"/>
        </w:rPr>
        <w:t>注2：</w:t>
      </w:r>
      <w:r>
        <w:rPr>
          <w:rFonts w:ascii="宋体" w:hAnsi="宋体" w:eastAsia="宋体" w:cs="Arial"/>
          <w:sz w:val="18"/>
          <w:szCs w:val="18"/>
        </w:rPr>
        <w:t>碳中和建筑达成可以应用不限于基于碳</w:t>
      </w:r>
      <w:r>
        <w:rPr>
          <w:rFonts w:hint="eastAsia" w:ascii="宋体" w:hAnsi="宋体" w:eastAsia="宋体" w:cs="Arial"/>
          <w:sz w:val="18"/>
          <w:szCs w:val="18"/>
        </w:rPr>
        <w:t>清除</w:t>
      </w:r>
      <w:r>
        <w:rPr>
          <w:rFonts w:ascii="宋体" w:hAnsi="宋体" w:eastAsia="宋体" w:cs="Arial"/>
          <w:sz w:val="18"/>
          <w:szCs w:val="18"/>
        </w:rPr>
        <w:t>的碳抵消方式，来抵消剩余排放。</w:t>
      </w:r>
    </w:p>
    <w:p w14:paraId="7573E0C0">
      <w:pPr>
        <w:spacing w:before="120" w:beforeLines="50" w:after="120" w:afterLines="50"/>
        <w:rPr>
          <w:rFonts w:ascii="黑体" w:hAnsi="黑体" w:eastAsia="黑体" w:cs="Times New Roman"/>
          <w:szCs w:val="24"/>
          <w14:ligatures w14:val="none"/>
        </w:rPr>
      </w:pPr>
      <w:bookmarkStart w:id="35" w:name="heading_23"/>
      <w:r>
        <w:rPr>
          <w:rFonts w:ascii="黑体" w:hAnsi="黑体" w:eastAsia="黑体" w:cs="Times New Roman"/>
          <w:szCs w:val="24"/>
          <w14:ligatures w14:val="none"/>
        </w:rPr>
        <w:t>4.3.4 租户服务</w:t>
      </w:r>
      <w:bookmarkEnd w:id="35"/>
    </w:p>
    <w:p w14:paraId="7982092D">
      <w:pPr>
        <w:spacing w:line="288" w:lineRule="auto"/>
        <w:ind w:firstLine="420"/>
        <w:jc w:val="left"/>
        <w:rPr>
          <w:rFonts w:ascii="宋体" w:hAnsi="宋体" w:eastAsia="宋体" w:cs="Arial"/>
          <w:szCs w:val="21"/>
        </w:rPr>
      </w:pPr>
      <w:r>
        <w:rPr>
          <w:rFonts w:ascii="宋体" w:hAnsi="宋体" w:eastAsia="宋体" w:cs="Arial"/>
          <w:szCs w:val="21"/>
        </w:rPr>
        <w:t>建筑业主宜为提供租户提供降碳服务，具体可通过但不限于以下方式：</w:t>
      </w:r>
    </w:p>
    <w:p w14:paraId="0CA7050D">
      <w:pPr>
        <w:pStyle w:val="18"/>
        <w:numPr>
          <w:ilvl w:val="0"/>
          <w:numId w:val="10"/>
        </w:numPr>
        <w:ind w:firstLineChars="0"/>
        <w:jc w:val="left"/>
        <w:rPr>
          <w:rFonts w:ascii="宋体" w:hAnsi="宋体" w:eastAsia="宋体" w:cs="Arial"/>
          <w:szCs w:val="21"/>
        </w:rPr>
      </w:pPr>
      <w:r>
        <w:rPr>
          <w:rFonts w:ascii="宋体" w:hAnsi="宋体" w:eastAsia="宋体" w:cs="Arial"/>
          <w:szCs w:val="21"/>
        </w:rPr>
        <w:t>提供零碳办公的解决方案，包括零碳装修方案、低碳办公耗材采购；</w:t>
      </w:r>
    </w:p>
    <w:p w14:paraId="7E798761">
      <w:pPr>
        <w:pStyle w:val="18"/>
        <w:numPr>
          <w:ilvl w:val="0"/>
          <w:numId w:val="10"/>
        </w:numPr>
        <w:ind w:firstLineChars="0"/>
        <w:jc w:val="left"/>
        <w:rPr>
          <w:rFonts w:ascii="宋体" w:hAnsi="宋体" w:eastAsia="宋体" w:cs="Arial"/>
          <w:highlight w:val="yellow"/>
        </w:rPr>
      </w:pPr>
      <w:r>
        <w:rPr>
          <w:rFonts w:ascii="宋体" w:hAnsi="宋体" w:eastAsia="宋体" w:cs="Arial"/>
        </w:rPr>
        <w:t>提供绿电证明</w:t>
      </w:r>
      <w:r>
        <w:rPr>
          <w:rFonts w:ascii="宋体" w:hAnsi="宋体" w:eastAsia="宋体" w:cs="Arial"/>
          <w:highlight w:val="yellow"/>
        </w:rPr>
        <w:t>（转供电情形下绿电消费声明见附件</w:t>
      </w:r>
      <w:r>
        <w:rPr>
          <w:rFonts w:hint="eastAsia" w:ascii="宋体" w:hAnsi="宋体" w:eastAsia="宋体" w:cs="Arial"/>
          <w:highlight w:val="yellow"/>
        </w:rPr>
        <w:t>B</w:t>
      </w:r>
      <w:r>
        <w:rPr>
          <w:rFonts w:ascii="宋体" w:hAnsi="宋体" w:eastAsia="宋体" w:cs="Arial"/>
          <w:highlight w:val="yellow"/>
        </w:rPr>
        <w:t>）；</w:t>
      </w:r>
    </w:p>
    <w:p w14:paraId="174B9545">
      <w:pPr>
        <w:pStyle w:val="18"/>
        <w:numPr>
          <w:ilvl w:val="0"/>
          <w:numId w:val="10"/>
        </w:numPr>
        <w:ind w:firstLineChars="0"/>
        <w:jc w:val="left"/>
        <w:rPr>
          <w:rFonts w:ascii="宋体" w:hAnsi="宋体" w:eastAsia="宋体" w:cs="Arial"/>
          <w:szCs w:val="21"/>
        </w:rPr>
      </w:pPr>
      <w:r>
        <w:rPr>
          <w:rFonts w:ascii="宋体" w:hAnsi="宋体" w:eastAsia="宋体" w:cs="Arial"/>
          <w:szCs w:val="21"/>
        </w:rPr>
        <w:t>提供节能和降碳绩效核算，支持客户ESG信披。</w:t>
      </w:r>
    </w:p>
    <w:p w14:paraId="49AA2373">
      <w:pPr>
        <w:pStyle w:val="2"/>
        <w:numPr>
          <w:ilvl w:val="0"/>
          <w:numId w:val="1"/>
        </w:numPr>
        <w:spacing w:before="240" w:after="240" w:afterLines="100" w:line="240" w:lineRule="auto"/>
        <w:rPr>
          <w:rFonts w:ascii="黑体" w:hAnsi="黑体" w:eastAsia="黑体"/>
          <w:b w:val="0"/>
          <w:sz w:val="21"/>
          <w:szCs w:val="21"/>
          <w14:ligatures w14:val="none"/>
        </w:rPr>
      </w:pPr>
      <w:bookmarkStart w:id="36" w:name="heading_24"/>
      <w:bookmarkStart w:id="37" w:name="_Toc167487086"/>
      <w:r>
        <w:rPr>
          <w:rFonts w:ascii="黑体" w:hAnsi="黑体" w:eastAsia="黑体"/>
          <w:b w:val="0"/>
          <w:sz w:val="21"/>
          <w:szCs w:val="21"/>
          <w14:ligatures w14:val="none"/>
        </w:rPr>
        <w:t>评价</w:t>
      </w:r>
      <w:bookmarkEnd w:id="36"/>
      <w:bookmarkEnd w:id="37"/>
    </w:p>
    <w:p w14:paraId="1F1ED323">
      <w:pPr>
        <w:pStyle w:val="3"/>
        <w:spacing w:before="240" w:beforeLines="100" w:after="120"/>
        <w:rPr>
          <w:rFonts w:ascii="黑体" w:hAnsi="黑体" w:eastAsia="黑体"/>
          <w:b w:val="0"/>
          <w:sz w:val="21"/>
          <w:szCs w:val="21"/>
          <w14:ligatures w14:val="none"/>
        </w:rPr>
      </w:pPr>
      <w:bookmarkStart w:id="38" w:name="heading_25"/>
      <w:bookmarkStart w:id="39" w:name="_Toc167487087"/>
      <w:r>
        <w:rPr>
          <w:rFonts w:ascii="黑体" w:hAnsi="黑体" w:eastAsia="黑体"/>
          <w:b w:val="0"/>
          <w:sz w:val="21"/>
          <w:szCs w:val="21"/>
          <w14:ligatures w14:val="none"/>
        </w:rPr>
        <w:t>5.1 基本要求</w:t>
      </w:r>
      <w:bookmarkEnd w:id="38"/>
      <w:bookmarkEnd w:id="39"/>
    </w:p>
    <w:p w14:paraId="7C96AFD1">
      <w:pPr>
        <w:spacing w:line="288" w:lineRule="auto"/>
        <w:ind w:firstLine="420"/>
        <w:jc w:val="left"/>
        <w:rPr>
          <w:rFonts w:ascii="宋体" w:hAnsi="宋体" w:eastAsia="宋体"/>
          <w:szCs w:val="21"/>
        </w:rPr>
      </w:pPr>
      <w:r>
        <w:rPr>
          <w:rFonts w:ascii="宋体" w:hAnsi="宋体" w:eastAsia="宋体" w:cs="Arial"/>
          <w:szCs w:val="21"/>
        </w:rPr>
        <w:t>参与评价应满足如下基本要求：</w:t>
      </w:r>
    </w:p>
    <w:p w14:paraId="2CAFD427">
      <w:pPr>
        <w:pStyle w:val="18"/>
        <w:numPr>
          <w:ilvl w:val="0"/>
          <w:numId w:val="11"/>
        </w:numPr>
        <w:ind w:firstLineChars="0"/>
        <w:jc w:val="left"/>
        <w:rPr>
          <w:rFonts w:ascii="宋体" w:hAnsi="宋体" w:eastAsia="宋体" w:cs="Arial"/>
          <w:szCs w:val="21"/>
        </w:rPr>
      </w:pPr>
      <w:r>
        <w:rPr>
          <w:rFonts w:ascii="宋体" w:hAnsi="宋体" w:eastAsia="宋体" w:cs="Arial"/>
          <w:szCs w:val="21"/>
        </w:rPr>
        <w:t>参与评价的建筑应由建筑业主申请；</w:t>
      </w:r>
    </w:p>
    <w:p w14:paraId="353CD02C">
      <w:pPr>
        <w:pStyle w:val="18"/>
        <w:numPr>
          <w:ilvl w:val="0"/>
          <w:numId w:val="11"/>
        </w:numPr>
        <w:ind w:firstLineChars="0"/>
        <w:jc w:val="left"/>
        <w:rPr>
          <w:rFonts w:ascii="宋体" w:hAnsi="宋体" w:eastAsia="宋体" w:cs="Arial"/>
          <w:szCs w:val="21"/>
        </w:rPr>
      </w:pPr>
      <w:r>
        <w:rPr>
          <w:rFonts w:ascii="宋体" w:hAnsi="宋体" w:eastAsia="宋体" w:cs="Arial"/>
          <w:szCs w:val="21"/>
        </w:rPr>
        <w:t>建筑应处于已全面使用状态，并使用至少1年；</w:t>
      </w:r>
    </w:p>
    <w:p w14:paraId="60361ECA">
      <w:pPr>
        <w:pStyle w:val="18"/>
        <w:numPr>
          <w:ilvl w:val="0"/>
          <w:numId w:val="11"/>
        </w:numPr>
        <w:ind w:firstLineChars="0"/>
        <w:jc w:val="left"/>
        <w:rPr>
          <w:rFonts w:ascii="宋体" w:hAnsi="宋体" w:eastAsia="宋体" w:cs="Arial"/>
          <w:szCs w:val="21"/>
        </w:rPr>
      </w:pPr>
      <w:r>
        <w:rPr>
          <w:rFonts w:ascii="宋体" w:hAnsi="宋体" w:eastAsia="宋体" w:cs="Arial"/>
          <w:szCs w:val="21"/>
        </w:rPr>
        <w:t>建筑平均占用率应达到80%以上。</w:t>
      </w:r>
    </w:p>
    <w:p w14:paraId="17482824">
      <w:pPr>
        <w:pStyle w:val="3"/>
        <w:spacing w:before="240" w:beforeLines="100" w:after="120"/>
        <w:rPr>
          <w:rFonts w:ascii="黑体" w:hAnsi="黑体" w:eastAsia="黑体"/>
          <w:b w:val="0"/>
          <w:sz w:val="21"/>
          <w:szCs w:val="21"/>
          <w14:ligatures w14:val="none"/>
        </w:rPr>
      </w:pPr>
      <w:bookmarkStart w:id="40" w:name="_Toc167487088"/>
      <w:bookmarkStart w:id="41" w:name="heading_26"/>
      <w:r>
        <w:rPr>
          <w:rFonts w:ascii="黑体" w:hAnsi="黑体" w:eastAsia="黑体"/>
          <w:b w:val="0"/>
          <w:sz w:val="21"/>
          <w:szCs w:val="21"/>
          <w14:ligatures w14:val="none"/>
        </w:rPr>
        <w:t>5.2 评价类别</w:t>
      </w:r>
      <w:bookmarkEnd w:id="40"/>
      <w:bookmarkEnd w:id="41"/>
    </w:p>
    <w:p w14:paraId="4638B11D">
      <w:pPr>
        <w:spacing w:line="288" w:lineRule="auto"/>
        <w:ind w:firstLine="420"/>
        <w:jc w:val="left"/>
        <w:rPr>
          <w:rFonts w:ascii="宋体" w:hAnsi="宋体" w:eastAsia="宋体" w:cs="Arial"/>
          <w:szCs w:val="21"/>
        </w:rPr>
      </w:pPr>
      <w:r>
        <w:rPr>
          <w:rFonts w:ascii="宋体" w:hAnsi="宋体" w:eastAsia="宋体" w:cs="Arial"/>
          <w:szCs w:val="21"/>
        </w:rPr>
        <w:t>净零评价</w:t>
      </w:r>
      <w:r>
        <w:rPr>
          <w:rFonts w:hint="eastAsia" w:ascii="宋体" w:hAnsi="宋体" w:eastAsia="宋体" w:cs="Arial"/>
          <w:szCs w:val="21"/>
        </w:rPr>
        <w:t>涉及</w:t>
      </w:r>
      <w:r>
        <w:rPr>
          <w:rFonts w:ascii="宋体" w:hAnsi="宋体" w:eastAsia="宋体" w:cs="Arial"/>
          <w:szCs w:val="21"/>
        </w:rPr>
        <w:t>5</w:t>
      </w:r>
      <w:r>
        <w:rPr>
          <w:rFonts w:hint="eastAsia" w:ascii="宋体" w:hAnsi="宋体" w:eastAsia="宋体" w:cs="Arial"/>
          <w:szCs w:val="21"/>
        </w:rPr>
        <w:t>项评价类别</w:t>
      </w:r>
      <w:r>
        <w:rPr>
          <w:rFonts w:ascii="宋体" w:hAnsi="宋体" w:eastAsia="宋体" w:cs="Arial"/>
          <w:szCs w:val="21"/>
        </w:rPr>
        <w:t>：</w:t>
      </w:r>
    </w:p>
    <w:p w14:paraId="07EF7CAE">
      <w:pPr>
        <w:pStyle w:val="18"/>
        <w:numPr>
          <w:ilvl w:val="0"/>
          <w:numId w:val="12"/>
        </w:numPr>
        <w:ind w:firstLineChars="0"/>
        <w:jc w:val="left"/>
        <w:rPr>
          <w:rFonts w:ascii="宋体" w:hAnsi="宋体" w:eastAsia="宋体" w:cs="Arial"/>
          <w:szCs w:val="21"/>
        </w:rPr>
      </w:pPr>
      <w:r>
        <w:rPr>
          <w:rFonts w:ascii="宋体" w:hAnsi="宋体" w:eastAsia="宋体" w:cs="Arial"/>
          <w:szCs w:val="21"/>
        </w:rPr>
        <w:t>净零目标：评价建筑业主制定的净零目标和净零路径科学性；</w:t>
      </w:r>
    </w:p>
    <w:p w14:paraId="098EDC35">
      <w:pPr>
        <w:pStyle w:val="18"/>
        <w:numPr>
          <w:ilvl w:val="0"/>
          <w:numId w:val="12"/>
        </w:numPr>
        <w:ind w:firstLineChars="0"/>
        <w:jc w:val="left"/>
        <w:rPr>
          <w:rFonts w:ascii="宋体" w:hAnsi="宋体" w:eastAsia="宋体" w:cs="Arial"/>
          <w:szCs w:val="21"/>
        </w:rPr>
      </w:pPr>
      <w:r>
        <w:rPr>
          <w:rFonts w:ascii="宋体" w:hAnsi="宋体" w:eastAsia="宋体" w:cs="Arial"/>
          <w:szCs w:val="21"/>
        </w:rPr>
        <w:t>净零进程：评价净零行动开展取得成效与既定阶段性目标和路径规划的一致性；</w:t>
      </w:r>
    </w:p>
    <w:p w14:paraId="48A28B2F">
      <w:pPr>
        <w:pStyle w:val="18"/>
        <w:numPr>
          <w:ilvl w:val="0"/>
          <w:numId w:val="12"/>
        </w:numPr>
        <w:ind w:firstLineChars="0"/>
        <w:jc w:val="left"/>
        <w:rPr>
          <w:rFonts w:ascii="宋体" w:hAnsi="宋体" w:eastAsia="宋体" w:cs="Arial"/>
          <w:szCs w:val="21"/>
        </w:rPr>
      </w:pPr>
      <w:r>
        <w:rPr>
          <w:rFonts w:ascii="宋体" w:hAnsi="宋体" w:eastAsia="宋体" w:cs="Arial"/>
          <w:szCs w:val="21"/>
        </w:rPr>
        <w:t>净零运营：评价建筑非租户区域与租户区域实现净零排放的比例；</w:t>
      </w:r>
    </w:p>
    <w:p w14:paraId="1EC2712E">
      <w:pPr>
        <w:pStyle w:val="18"/>
        <w:numPr>
          <w:ilvl w:val="0"/>
          <w:numId w:val="12"/>
        </w:numPr>
        <w:ind w:firstLineChars="0"/>
        <w:jc w:val="left"/>
        <w:rPr>
          <w:rFonts w:ascii="宋体" w:hAnsi="宋体" w:eastAsia="宋体" w:cs="Arial"/>
          <w:szCs w:val="21"/>
        </w:rPr>
      </w:pPr>
      <w:r>
        <w:rPr>
          <w:rFonts w:ascii="宋体" w:hAnsi="宋体" w:eastAsia="宋体" w:cs="Arial"/>
          <w:szCs w:val="21"/>
        </w:rPr>
        <w:t>净零就绪：评价建筑在硬件条件在能效水平、可再生能源利用的表现和建筑业主运营能力是否达成净零就绪水平；</w:t>
      </w:r>
    </w:p>
    <w:p w14:paraId="247CA2CA">
      <w:pPr>
        <w:pStyle w:val="18"/>
        <w:numPr>
          <w:ilvl w:val="0"/>
          <w:numId w:val="12"/>
        </w:numPr>
        <w:ind w:firstLineChars="0"/>
        <w:jc w:val="left"/>
        <w:rPr>
          <w:rFonts w:ascii="宋体" w:hAnsi="宋体" w:eastAsia="宋体" w:cs="Arial"/>
          <w:szCs w:val="21"/>
        </w:rPr>
      </w:pPr>
      <w:r>
        <w:rPr>
          <w:rFonts w:ascii="宋体" w:hAnsi="宋体" w:eastAsia="宋体" w:cs="Arial"/>
          <w:szCs w:val="21"/>
        </w:rPr>
        <w:t>净零达成：评价整个建筑是否实现净零排放。</w:t>
      </w:r>
    </w:p>
    <w:p w14:paraId="0F84AEDC">
      <w:pPr>
        <w:spacing w:line="288" w:lineRule="auto"/>
        <w:ind w:firstLine="420"/>
        <w:jc w:val="left"/>
        <w:rPr>
          <w:rFonts w:ascii="宋体" w:hAnsi="宋体" w:eastAsia="宋体" w:cs="Arial"/>
          <w:szCs w:val="21"/>
        </w:rPr>
      </w:pPr>
      <w:r>
        <w:rPr>
          <w:rFonts w:ascii="宋体" w:hAnsi="宋体" w:eastAsia="宋体" w:cs="Arial"/>
          <w:szCs w:val="21"/>
        </w:rPr>
        <w:t>碳中和评价</w:t>
      </w:r>
      <w:r>
        <w:rPr>
          <w:rFonts w:hint="eastAsia" w:ascii="宋体" w:hAnsi="宋体" w:eastAsia="宋体" w:cs="Arial"/>
          <w:szCs w:val="21"/>
        </w:rPr>
        <w:t>涉及1项评价类别：</w:t>
      </w:r>
    </w:p>
    <w:p w14:paraId="67A9730F">
      <w:pPr>
        <w:spacing w:line="288" w:lineRule="auto"/>
        <w:ind w:firstLine="420"/>
        <w:jc w:val="left"/>
        <w:rPr>
          <w:rFonts w:ascii="宋体" w:hAnsi="宋体" w:eastAsia="宋体"/>
          <w:szCs w:val="21"/>
        </w:rPr>
      </w:pPr>
      <w:r>
        <w:rPr>
          <w:rFonts w:ascii="宋体" w:hAnsi="宋体" w:eastAsia="宋体" w:cs="Arial"/>
          <w:szCs w:val="21"/>
        </w:rPr>
        <w:t>碳中和达成：评价建筑在特定时间内是否实现碳中和状态。</w:t>
      </w:r>
    </w:p>
    <w:p w14:paraId="6AAFEF0C">
      <w:pPr>
        <w:pStyle w:val="3"/>
        <w:numPr>
          <w:ilvl w:val="1"/>
          <w:numId w:val="13"/>
        </w:numPr>
        <w:spacing w:before="240" w:beforeLines="100" w:after="120"/>
        <w:rPr>
          <w:rFonts w:ascii="黑体" w:hAnsi="黑体" w:eastAsia="黑体"/>
          <w:b w:val="0"/>
          <w:sz w:val="21"/>
          <w:szCs w:val="21"/>
          <w14:ligatures w14:val="none"/>
        </w:rPr>
      </w:pPr>
      <w:bookmarkStart w:id="42" w:name="_Toc167487089"/>
      <w:bookmarkStart w:id="43" w:name="heading_27"/>
      <w:r>
        <w:rPr>
          <w:rFonts w:ascii="黑体" w:hAnsi="黑体" w:eastAsia="黑体"/>
          <w:b w:val="0"/>
          <w:sz w:val="21"/>
          <w:szCs w:val="21"/>
          <w14:ligatures w14:val="none"/>
        </w:rPr>
        <w:t>净零目标</w:t>
      </w:r>
      <w:bookmarkEnd w:id="42"/>
      <w:bookmarkEnd w:id="43"/>
    </w:p>
    <w:p w14:paraId="3533AC8C">
      <w:pPr>
        <w:spacing w:line="288" w:lineRule="auto"/>
        <w:jc w:val="left"/>
        <w:rPr>
          <w:rFonts w:ascii="宋体" w:hAnsi="宋体" w:eastAsia="宋体"/>
          <w:szCs w:val="21"/>
        </w:rPr>
      </w:pPr>
      <w:r>
        <w:rPr>
          <w:rFonts w:hint="eastAsia" w:ascii="黑体" w:hAnsi="黑体" w:eastAsia="黑体" w:cs="Arial"/>
          <w:szCs w:val="21"/>
        </w:rPr>
        <w:t xml:space="preserve">5.3.1 </w:t>
      </w:r>
      <w:r>
        <w:rPr>
          <w:rFonts w:ascii="宋体" w:hAnsi="宋体" w:eastAsia="宋体" w:cs="Arial"/>
          <w:szCs w:val="21"/>
        </w:rPr>
        <w:t>净零目标评价</w:t>
      </w:r>
      <w:r>
        <w:rPr>
          <w:rFonts w:hint="eastAsia" w:ascii="宋体" w:hAnsi="宋体" w:eastAsia="宋体" w:cs="Arial"/>
          <w:szCs w:val="21"/>
        </w:rPr>
        <w:t>应在建筑业主</w:t>
      </w:r>
      <w:r>
        <w:rPr>
          <w:rFonts w:ascii="宋体" w:hAnsi="宋体" w:eastAsia="宋体" w:cs="Arial"/>
          <w:szCs w:val="21"/>
        </w:rPr>
        <w:t>已签署“净零承诺书”</w:t>
      </w:r>
      <w:r>
        <w:rPr>
          <w:rFonts w:ascii="宋体" w:hAnsi="宋体" w:eastAsia="宋体" w:cs="Arial"/>
          <w:szCs w:val="21"/>
          <w:highlight w:val="yellow"/>
        </w:rPr>
        <w:t>（见附件</w:t>
      </w:r>
      <w:r>
        <w:rPr>
          <w:rFonts w:hint="eastAsia" w:ascii="宋体" w:hAnsi="宋体" w:eastAsia="宋体" w:cs="Arial"/>
          <w:szCs w:val="21"/>
          <w:highlight w:val="yellow"/>
        </w:rPr>
        <w:t>C</w:t>
      </w:r>
      <w:r>
        <w:rPr>
          <w:rFonts w:ascii="宋体" w:hAnsi="宋体" w:eastAsia="宋体" w:cs="Arial"/>
          <w:szCs w:val="21"/>
          <w:highlight w:val="yellow"/>
        </w:rPr>
        <w:t>）</w:t>
      </w:r>
      <w:r>
        <w:rPr>
          <w:rFonts w:hint="eastAsia" w:ascii="宋体" w:hAnsi="宋体" w:eastAsia="宋体" w:cs="Arial"/>
          <w:szCs w:val="21"/>
        </w:rPr>
        <w:t>，并</w:t>
      </w:r>
      <w:r>
        <w:rPr>
          <w:rFonts w:ascii="宋体" w:hAnsi="宋体" w:eastAsia="宋体" w:cs="Arial"/>
          <w:szCs w:val="21"/>
        </w:rPr>
        <w:t>制定净零目标与路径</w:t>
      </w:r>
      <w:r>
        <w:rPr>
          <w:rFonts w:hint="eastAsia" w:ascii="宋体" w:hAnsi="宋体" w:eastAsia="宋体" w:cs="Arial"/>
          <w:szCs w:val="21"/>
        </w:rPr>
        <w:t>后申请</w:t>
      </w:r>
      <w:r>
        <w:rPr>
          <w:rFonts w:ascii="宋体" w:hAnsi="宋体" w:eastAsia="宋体" w:cs="Arial"/>
          <w:szCs w:val="21"/>
        </w:rPr>
        <w:t>。</w:t>
      </w:r>
    </w:p>
    <w:p w14:paraId="185A6FB4">
      <w:pPr>
        <w:spacing w:line="288" w:lineRule="auto"/>
        <w:jc w:val="left"/>
        <w:rPr>
          <w:rFonts w:ascii="宋体" w:hAnsi="宋体" w:eastAsia="宋体"/>
          <w:szCs w:val="21"/>
        </w:rPr>
      </w:pPr>
      <w:r>
        <w:rPr>
          <w:rFonts w:hint="eastAsia" w:ascii="黑体" w:hAnsi="黑体" w:eastAsia="黑体" w:cs="Arial"/>
          <w:szCs w:val="21"/>
        </w:rPr>
        <w:t xml:space="preserve">5.3.2 </w:t>
      </w:r>
      <w:r>
        <w:rPr>
          <w:rFonts w:ascii="宋体" w:hAnsi="宋体" w:eastAsia="宋体" w:cs="Arial"/>
          <w:szCs w:val="21"/>
        </w:rPr>
        <w:t>评价机构基于4.2中要求对净零目标和路径进行科学性验证。通过验证的参评建筑可获得“净零目标建筑”称号。</w:t>
      </w:r>
    </w:p>
    <w:p w14:paraId="2BE89EF3">
      <w:pPr>
        <w:spacing w:line="288" w:lineRule="auto"/>
        <w:jc w:val="left"/>
        <w:rPr>
          <w:rFonts w:ascii="宋体" w:hAnsi="宋体" w:eastAsia="宋体"/>
          <w:szCs w:val="21"/>
        </w:rPr>
      </w:pPr>
      <w:r>
        <w:rPr>
          <w:rFonts w:hint="eastAsia" w:ascii="黑体" w:hAnsi="黑体" w:eastAsia="黑体" w:cs="Arial"/>
          <w:szCs w:val="21"/>
        </w:rPr>
        <w:t xml:space="preserve">5.3.3 </w:t>
      </w:r>
      <w:r>
        <w:rPr>
          <w:rFonts w:ascii="宋体" w:hAnsi="宋体" w:eastAsia="宋体" w:cs="Arial"/>
          <w:szCs w:val="21"/>
        </w:rPr>
        <w:t>净零目标评价方法如图</w:t>
      </w:r>
      <w:r>
        <w:rPr>
          <w:rFonts w:hint="eastAsia" w:ascii="宋体" w:hAnsi="宋体" w:eastAsia="宋体" w:cs="Arial"/>
          <w:szCs w:val="21"/>
        </w:rPr>
        <w:t>2</w:t>
      </w:r>
      <w:r>
        <w:rPr>
          <w:rFonts w:ascii="宋体" w:hAnsi="宋体" w:eastAsia="宋体" w:cs="Arial"/>
          <w:szCs w:val="21"/>
        </w:rPr>
        <w:t>所示。</w:t>
      </w:r>
    </w:p>
    <w:p w14:paraId="1626A2C7">
      <w:pPr>
        <w:spacing w:line="288" w:lineRule="auto"/>
        <w:jc w:val="center"/>
        <w:rPr>
          <w:rFonts w:ascii="宋体" w:hAnsi="宋体" w:eastAsia="宋体"/>
          <w:szCs w:val="21"/>
        </w:rPr>
      </w:pPr>
      <w:r>
        <w:rPr>
          <w:rFonts w:ascii="宋体" w:hAnsi="宋体" w:eastAsia="宋体"/>
          <w:szCs w:val="21"/>
        </w:rPr>
        <w:drawing>
          <wp:inline distT="0" distB="0" distL="0" distR="0">
            <wp:extent cx="1730375" cy="2542540"/>
            <wp:effectExtent l="0" t="0" r="0" b="0"/>
            <wp:docPr id="1" name="Draw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pic:cNvPicPr>
                      <a:picLocks noChangeAspect="1"/>
                    </pic:cNvPicPr>
                  </pic:nvPicPr>
                  <pic:blipFill>
                    <a:blip r:embed="rId7"/>
                    <a:srcRect l="43892" r="23184"/>
                    <a:stretch>
                      <a:fillRect/>
                    </a:stretch>
                  </pic:blipFill>
                  <pic:spPr>
                    <a:xfrm>
                      <a:off x="0" y="0"/>
                      <a:ext cx="1731095" cy="2543175"/>
                    </a:xfrm>
                    <a:prstGeom prst="rect">
                      <a:avLst/>
                    </a:prstGeom>
                    <a:ln>
                      <a:noFill/>
                    </a:ln>
                  </pic:spPr>
                </pic:pic>
              </a:graphicData>
            </a:graphic>
          </wp:inline>
        </w:drawing>
      </w:r>
    </w:p>
    <w:p w14:paraId="633F5F3E">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2</w:t>
      </w:r>
      <w:r>
        <w:rPr>
          <w:rFonts w:ascii="黑体" w:hAnsi="黑体" w:eastAsia="黑体" w:cs="Calibri"/>
          <w:szCs w:val="21"/>
        </w:rPr>
        <w:t xml:space="preserve"> 净零目标评价方法</w:t>
      </w:r>
    </w:p>
    <w:p w14:paraId="1135BB26">
      <w:pPr>
        <w:pStyle w:val="3"/>
        <w:numPr>
          <w:ilvl w:val="1"/>
          <w:numId w:val="13"/>
        </w:numPr>
        <w:spacing w:before="240" w:beforeLines="100" w:after="120"/>
        <w:rPr>
          <w:rFonts w:ascii="黑体" w:hAnsi="黑体" w:eastAsia="黑体"/>
          <w:b w:val="0"/>
          <w:sz w:val="21"/>
          <w:szCs w:val="21"/>
          <w14:ligatures w14:val="none"/>
        </w:rPr>
      </w:pPr>
      <w:bookmarkStart w:id="44" w:name="_Toc167487090"/>
      <w:bookmarkStart w:id="45" w:name="heading_28"/>
      <w:r>
        <w:rPr>
          <w:rFonts w:ascii="黑体" w:hAnsi="黑体" w:eastAsia="黑体"/>
          <w:b w:val="0"/>
          <w:sz w:val="21"/>
          <w:szCs w:val="21"/>
          <w14:ligatures w14:val="none"/>
        </w:rPr>
        <w:t>净零进程</w:t>
      </w:r>
      <w:bookmarkEnd w:id="44"/>
      <w:bookmarkEnd w:id="45"/>
    </w:p>
    <w:p w14:paraId="55594A50">
      <w:pPr>
        <w:spacing w:line="288" w:lineRule="auto"/>
        <w:jc w:val="left"/>
        <w:rPr>
          <w:rFonts w:ascii="宋体" w:hAnsi="宋体" w:eastAsia="宋体"/>
          <w:szCs w:val="21"/>
        </w:rPr>
      </w:pPr>
      <w:r>
        <w:rPr>
          <w:rFonts w:hint="eastAsia" w:ascii="黑体" w:hAnsi="黑体" w:eastAsia="黑体" w:cs="Arial"/>
          <w:szCs w:val="21"/>
        </w:rPr>
        <w:t xml:space="preserve">5.4.1 </w:t>
      </w:r>
      <w:r>
        <w:rPr>
          <w:rFonts w:ascii="宋体" w:hAnsi="宋体" w:eastAsia="宋体" w:cs="Arial"/>
          <w:szCs w:val="21"/>
        </w:rPr>
        <w:t>净零进程评价</w:t>
      </w:r>
      <w:r>
        <w:rPr>
          <w:rFonts w:hint="eastAsia" w:ascii="宋体" w:hAnsi="宋体" w:eastAsia="宋体" w:cs="Arial"/>
          <w:szCs w:val="21"/>
        </w:rPr>
        <w:t>应在参评</w:t>
      </w:r>
      <w:r>
        <w:rPr>
          <w:rFonts w:ascii="宋体" w:hAnsi="宋体" w:eastAsia="宋体" w:cs="Arial"/>
          <w:szCs w:val="21"/>
        </w:rPr>
        <w:t>建筑已具备在有效期内的“净零进程建筑”称号</w:t>
      </w:r>
      <w:r>
        <w:rPr>
          <w:rFonts w:hint="eastAsia" w:ascii="宋体" w:hAnsi="宋体" w:eastAsia="宋体" w:cs="Arial"/>
          <w:szCs w:val="21"/>
        </w:rPr>
        <w:t>之后申请</w:t>
      </w:r>
      <w:r>
        <w:rPr>
          <w:rFonts w:ascii="宋体" w:hAnsi="宋体" w:eastAsia="宋体" w:cs="Arial"/>
          <w:szCs w:val="21"/>
        </w:rPr>
        <w:t>。</w:t>
      </w:r>
    </w:p>
    <w:p w14:paraId="5D84D107">
      <w:pPr>
        <w:spacing w:line="288" w:lineRule="auto"/>
        <w:jc w:val="left"/>
        <w:rPr>
          <w:rFonts w:ascii="宋体" w:hAnsi="宋体" w:eastAsia="宋体"/>
          <w:szCs w:val="21"/>
        </w:rPr>
      </w:pPr>
      <w:r>
        <w:rPr>
          <w:rFonts w:hint="eastAsia" w:ascii="黑体" w:hAnsi="黑体" w:eastAsia="黑体" w:cs="Arial"/>
          <w:szCs w:val="21"/>
        </w:rPr>
        <w:t xml:space="preserve">5.4.2 </w:t>
      </w:r>
      <w:r>
        <w:rPr>
          <w:rFonts w:ascii="宋体" w:hAnsi="宋体" w:eastAsia="宋体" w:cs="Arial"/>
          <w:szCs w:val="21"/>
        </w:rPr>
        <w:t>评价机构</w:t>
      </w:r>
      <w:r>
        <w:rPr>
          <w:rFonts w:hint="eastAsia" w:ascii="宋体" w:hAnsi="宋体" w:eastAsia="宋体" w:cs="Arial"/>
          <w:szCs w:val="21"/>
        </w:rPr>
        <w:t>基于</w:t>
      </w:r>
      <w:r>
        <w:rPr>
          <w:rFonts w:ascii="宋体" w:hAnsi="宋体" w:eastAsia="宋体" w:cs="Arial"/>
          <w:szCs w:val="21"/>
        </w:rPr>
        <w:t>参评建筑设定的</w:t>
      </w:r>
      <w:r>
        <w:rPr>
          <w:rFonts w:hint="eastAsia" w:ascii="宋体" w:hAnsi="宋体" w:eastAsia="宋体" w:cs="Arial"/>
          <w:szCs w:val="21"/>
        </w:rPr>
        <w:t>中期</w:t>
      </w:r>
      <w:r>
        <w:rPr>
          <w:rFonts w:ascii="宋体" w:hAnsi="宋体" w:eastAsia="宋体" w:cs="Arial"/>
          <w:szCs w:val="21"/>
        </w:rPr>
        <w:t>目标和路径，评估其是否具备获得“净零进程建筑”称号的条件。若参评建筑</w:t>
      </w:r>
      <w:r>
        <w:rPr>
          <w:rFonts w:hint="eastAsia" w:ascii="宋体" w:hAnsi="宋体" w:eastAsia="宋体" w:cs="Arial"/>
          <w:szCs w:val="21"/>
        </w:rPr>
        <w:t>实现既定</w:t>
      </w:r>
      <w:r>
        <w:rPr>
          <w:rFonts w:ascii="宋体" w:hAnsi="宋体" w:eastAsia="宋体" w:cs="Arial"/>
          <w:szCs w:val="21"/>
        </w:rPr>
        <w:t>中期目标或符合净零路径，则获得“净零进程建筑”称号。</w:t>
      </w:r>
    </w:p>
    <w:p w14:paraId="6B767609">
      <w:pPr>
        <w:spacing w:line="288" w:lineRule="auto"/>
        <w:jc w:val="left"/>
        <w:rPr>
          <w:rFonts w:ascii="宋体" w:hAnsi="宋体" w:eastAsia="宋体"/>
          <w:szCs w:val="21"/>
        </w:rPr>
      </w:pPr>
      <w:r>
        <w:rPr>
          <w:rFonts w:hint="eastAsia" w:ascii="黑体" w:hAnsi="黑体" w:eastAsia="黑体" w:cs="Arial"/>
          <w:szCs w:val="21"/>
        </w:rPr>
        <w:t xml:space="preserve">5.4.3 </w:t>
      </w:r>
      <w:r>
        <w:rPr>
          <w:rFonts w:ascii="宋体" w:hAnsi="宋体" w:eastAsia="宋体" w:cs="Arial"/>
          <w:szCs w:val="21"/>
        </w:rPr>
        <w:t>若参评建筑未能达成/符合既定的目标/路径，则重点评估其是否基于公平份额原则尽力实现近或中期目标，若是，</w:t>
      </w:r>
      <w:r>
        <w:rPr>
          <w:rFonts w:hint="eastAsia" w:ascii="宋体" w:hAnsi="宋体" w:eastAsia="宋体" w:cs="Arial"/>
          <w:szCs w:val="21"/>
        </w:rPr>
        <w:t>建筑业主应</w:t>
      </w:r>
      <w:r>
        <w:rPr>
          <w:rFonts w:ascii="宋体" w:hAnsi="宋体" w:eastAsia="宋体" w:cs="Arial"/>
          <w:szCs w:val="21"/>
        </w:rPr>
        <w:t>更新</w:t>
      </w:r>
      <w:r>
        <w:rPr>
          <w:rFonts w:hint="eastAsia" w:ascii="宋体" w:hAnsi="宋体" w:eastAsia="宋体" w:cs="Arial"/>
          <w:szCs w:val="21"/>
        </w:rPr>
        <w:t>之后的中期</w:t>
      </w:r>
      <w:r>
        <w:rPr>
          <w:rFonts w:ascii="宋体" w:hAnsi="宋体" w:eastAsia="宋体" w:cs="Arial"/>
          <w:szCs w:val="21"/>
        </w:rPr>
        <w:t>目标</w:t>
      </w:r>
      <w:r>
        <w:rPr>
          <w:rFonts w:hint="eastAsia" w:ascii="宋体" w:hAnsi="宋体" w:eastAsia="宋体" w:cs="Arial"/>
          <w:szCs w:val="21"/>
        </w:rPr>
        <w:t>以确保后续减碳绩效重新对齐净零路径</w:t>
      </w:r>
      <w:r>
        <w:rPr>
          <w:rFonts w:ascii="宋体" w:hAnsi="宋体" w:eastAsia="宋体" w:cs="Arial"/>
          <w:szCs w:val="21"/>
        </w:rPr>
        <w:t>。若未能满足上述条件，参评建筑将失去“净零目标建筑”称号。</w:t>
      </w:r>
    </w:p>
    <w:p w14:paraId="3A9B3167">
      <w:pPr>
        <w:spacing w:line="288" w:lineRule="auto"/>
        <w:jc w:val="left"/>
        <w:rPr>
          <w:rFonts w:ascii="宋体" w:hAnsi="宋体" w:eastAsia="宋体"/>
          <w:szCs w:val="21"/>
        </w:rPr>
      </w:pPr>
      <w:r>
        <w:rPr>
          <w:rFonts w:hint="eastAsia" w:ascii="黑体" w:hAnsi="黑体" w:eastAsia="黑体" w:cs="Arial"/>
          <w:szCs w:val="21"/>
        </w:rPr>
        <w:t xml:space="preserve">5.4.4 </w:t>
      </w:r>
      <w:r>
        <w:rPr>
          <w:rFonts w:ascii="宋体" w:hAnsi="宋体" w:eastAsia="宋体" w:cs="Arial"/>
          <w:szCs w:val="21"/>
        </w:rPr>
        <w:t>“净零进程建筑”称号的有效期为3年，建筑业主应持续开展净零举措，确保建筑降碳趋势长期与净零路径规划一致，宜持续更新“净零进程建筑”称号的有效期。</w:t>
      </w:r>
    </w:p>
    <w:p w14:paraId="6EC31940">
      <w:pPr>
        <w:spacing w:line="288" w:lineRule="auto"/>
        <w:jc w:val="left"/>
        <w:rPr>
          <w:rFonts w:ascii="宋体" w:hAnsi="宋体" w:eastAsia="宋体"/>
          <w:szCs w:val="21"/>
        </w:rPr>
      </w:pPr>
      <w:r>
        <w:rPr>
          <w:rFonts w:hint="eastAsia" w:ascii="黑体" w:hAnsi="黑体" w:eastAsia="黑体" w:cs="Arial"/>
          <w:szCs w:val="21"/>
        </w:rPr>
        <w:t xml:space="preserve">5.4.5 </w:t>
      </w:r>
      <w:r>
        <w:rPr>
          <w:rFonts w:ascii="宋体" w:hAnsi="宋体" w:eastAsia="宋体" w:cs="Arial"/>
          <w:szCs w:val="21"/>
        </w:rPr>
        <w:t>净零进程评价方法</w:t>
      </w:r>
      <w:r>
        <w:rPr>
          <w:rFonts w:hint="eastAsia" w:ascii="宋体" w:hAnsi="宋体" w:eastAsia="宋体" w:cs="Arial"/>
          <w:szCs w:val="21"/>
        </w:rPr>
        <w:t>如图3</w:t>
      </w:r>
      <w:r>
        <w:rPr>
          <w:rFonts w:ascii="宋体" w:hAnsi="宋体" w:eastAsia="宋体" w:cs="Arial"/>
          <w:szCs w:val="21"/>
        </w:rPr>
        <w:t>所示。</w:t>
      </w:r>
    </w:p>
    <w:p w14:paraId="4DACAE7A">
      <w:pPr>
        <w:spacing w:before="120" w:beforeLines="50" w:after="240" w:afterLines="100" w:line="288" w:lineRule="auto"/>
        <w:jc w:val="center"/>
        <w:rPr>
          <w:rFonts w:ascii="宋体" w:hAnsi="宋体" w:eastAsia="宋体"/>
          <w:szCs w:val="21"/>
        </w:rPr>
      </w:pPr>
      <w:r>
        <w:rPr>
          <w:rFonts w:ascii="宋体" w:hAnsi="宋体" w:eastAsia="宋体"/>
          <w:szCs w:val="21"/>
        </w:rPr>
        <w:drawing>
          <wp:inline distT="0" distB="0" distL="0" distR="0">
            <wp:extent cx="5698490" cy="2117725"/>
            <wp:effectExtent l="0" t="0" r="0" b="0"/>
            <wp:docPr id="6586263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26310"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8490" cy="2118345"/>
                    </a:xfrm>
                    <a:prstGeom prst="rect">
                      <a:avLst/>
                    </a:prstGeom>
                  </pic:spPr>
                </pic:pic>
              </a:graphicData>
            </a:graphic>
          </wp:inline>
        </w:drawing>
      </w:r>
    </w:p>
    <w:p w14:paraId="74AE4C78">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3</w:t>
      </w:r>
      <w:r>
        <w:rPr>
          <w:rFonts w:ascii="黑体" w:hAnsi="黑体" w:eastAsia="黑体" w:cs="Calibri"/>
          <w:szCs w:val="21"/>
        </w:rPr>
        <w:t xml:space="preserve"> 净零进程评价方法</w:t>
      </w:r>
    </w:p>
    <w:p w14:paraId="5DB882BD">
      <w:pPr>
        <w:pStyle w:val="3"/>
        <w:numPr>
          <w:ilvl w:val="1"/>
          <w:numId w:val="13"/>
        </w:numPr>
        <w:spacing w:before="240" w:beforeLines="100" w:after="120"/>
        <w:rPr>
          <w:rFonts w:ascii="黑体" w:hAnsi="黑体" w:eastAsia="黑体"/>
          <w:b w:val="0"/>
          <w:sz w:val="21"/>
          <w:szCs w:val="21"/>
          <w14:ligatures w14:val="none"/>
        </w:rPr>
      </w:pPr>
      <w:bookmarkStart w:id="46" w:name="_Toc167487091"/>
      <w:bookmarkStart w:id="47" w:name="heading_29"/>
      <w:r>
        <w:rPr>
          <w:rFonts w:ascii="黑体" w:hAnsi="黑体" w:eastAsia="黑体"/>
          <w:b w:val="0"/>
          <w:sz w:val="21"/>
          <w:szCs w:val="21"/>
          <w14:ligatures w14:val="none"/>
        </w:rPr>
        <w:t>净零运营</w:t>
      </w:r>
      <w:bookmarkEnd w:id="46"/>
      <w:bookmarkEnd w:id="47"/>
    </w:p>
    <w:p w14:paraId="0A7C8346">
      <w:pPr>
        <w:spacing w:line="288" w:lineRule="auto"/>
        <w:jc w:val="left"/>
        <w:rPr>
          <w:rFonts w:ascii="宋体" w:hAnsi="宋体" w:eastAsia="宋体"/>
          <w:szCs w:val="21"/>
        </w:rPr>
      </w:pPr>
      <w:r>
        <w:rPr>
          <w:rFonts w:hint="eastAsia" w:ascii="黑体" w:hAnsi="黑体" w:eastAsia="黑体" w:cs="Arial"/>
          <w:szCs w:val="21"/>
        </w:rPr>
        <w:t xml:space="preserve">5.5.1 </w:t>
      </w:r>
      <w:r>
        <w:rPr>
          <w:rFonts w:ascii="宋体" w:hAnsi="宋体" w:eastAsia="宋体" w:cs="Arial"/>
          <w:szCs w:val="21"/>
        </w:rPr>
        <w:t>净零运营评价</w:t>
      </w:r>
      <w:r>
        <w:rPr>
          <w:rFonts w:hint="eastAsia" w:ascii="宋体" w:hAnsi="宋体" w:eastAsia="宋体" w:cs="Arial"/>
          <w:szCs w:val="21"/>
        </w:rPr>
        <w:t>应在参评</w:t>
      </w:r>
      <w:r>
        <w:rPr>
          <w:rFonts w:ascii="宋体" w:hAnsi="宋体" w:eastAsia="宋体" w:cs="Arial"/>
          <w:szCs w:val="21"/>
        </w:rPr>
        <w:t>建筑已具备在有效期内的“净零进程建筑”称号</w:t>
      </w:r>
      <w:r>
        <w:rPr>
          <w:rFonts w:hint="eastAsia" w:ascii="宋体" w:hAnsi="宋体" w:eastAsia="宋体" w:cs="Arial"/>
          <w:szCs w:val="21"/>
        </w:rPr>
        <w:t>之后申请</w:t>
      </w:r>
      <w:r>
        <w:rPr>
          <w:rFonts w:ascii="宋体" w:hAnsi="宋体" w:eastAsia="宋体" w:cs="Arial"/>
          <w:szCs w:val="21"/>
        </w:rPr>
        <w:t>。</w:t>
      </w:r>
    </w:p>
    <w:p w14:paraId="26CA80C8">
      <w:pPr>
        <w:spacing w:line="288" w:lineRule="auto"/>
        <w:jc w:val="left"/>
        <w:rPr>
          <w:rFonts w:ascii="宋体" w:hAnsi="宋体" w:eastAsia="宋体" w:cs="Arial"/>
          <w:szCs w:val="21"/>
        </w:rPr>
      </w:pPr>
      <w:r>
        <w:rPr>
          <w:rFonts w:hint="eastAsia" w:ascii="黑体" w:hAnsi="黑体" w:eastAsia="黑体" w:cs="Arial"/>
          <w:szCs w:val="21"/>
        </w:rPr>
        <w:t xml:space="preserve">5.5.2 </w:t>
      </w:r>
      <w:r>
        <w:rPr>
          <w:rFonts w:ascii="宋体" w:hAnsi="宋体" w:eastAsia="宋体" w:cs="Arial"/>
          <w:szCs w:val="21"/>
        </w:rPr>
        <w:t>评审机构应根据参评建筑</w:t>
      </w:r>
      <w:r>
        <w:rPr>
          <w:rFonts w:hint="eastAsia" w:ascii="宋体" w:hAnsi="宋体" w:eastAsia="宋体" w:cs="Arial"/>
          <w:szCs w:val="21"/>
        </w:rPr>
        <w:t>中业主</w:t>
      </w:r>
      <w:r>
        <w:rPr>
          <w:rFonts w:ascii="宋体" w:hAnsi="宋体" w:eastAsia="宋体" w:cs="Arial"/>
          <w:szCs w:val="21"/>
        </w:rPr>
        <w:t>自身运营</w:t>
      </w:r>
      <w:r>
        <w:rPr>
          <w:rFonts w:hint="eastAsia" w:ascii="宋体" w:hAnsi="宋体" w:eastAsia="宋体" w:cs="Arial"/>
          <w:szCs w:val="21"/>
        </w:rPr>
        <w:t>区域（公共区域及业主使用区域）</w:t>
      </w:r>
      <w:r>
        <w:rPr>
          <w:rFonts w:ascii="宋体" w:hAnsi="宋体" w:eastAsia="宋体" w:cs="Arial"/>
          <w:szCs w:val="21"/>
        </w:rPr>
        <w:t>及其租户</w:t>
      </w:r>
      <w:r>
        <w:rPr>
          <w:rFonts w:hint="eastAsia" w:ascii="宋体" w:hAnsi="宋体" w:eastAsia="宋体" w:cs="Arial"/>
          <w:szCs w:val="21"/>
        </w:rPr>
        <w:t>区域的</w:t>
      </w:r>
      <w:r>
        <w:rPr>
          <w:rFonts w:ascii="宋体" w:hAnsi="宋体" w:eastAsia="宋体" w:cs="Arial"/>
          <w:szCs w:val="21"/>
        </w:rPr>
        <w:t>碳排放情况，评估其是否具备获得不同级别的</w:t>
      </w:r>
      <w:r>
        <w:rPr>
          <w:rFonts w:hint="eastAsia" w:ascii="宋体" w:hAnsi="宋体" w:eastAsia="宋体" w:cs="Arial"/>
          <w:szCs w:val="21"/>
        </w:rPr>
        <w:t>下述</w:t>
      </w:r>
      <w:r>
        <w:rPr>
          <w:rFonts w:ascii="宋体" w:hAnsi="宋体" w:eastAsia="宋体" w:cs="Arial"/>
          <w:szCs w:val="21"/>
        </w:rPr>
        <w:t>称号的条件。</w:t>
      </w:r>
    </w:p>
    <w:p w14:paraId="4C4C5D63">
      <w:pPr>
        <w:numPr>
          <w:ilvl w:val="0"/>
          <w:numId w:val="14"/>
        </w:numPr>
        <w:spacing w:line="288" w:lineRule="auto"/>
        <w:jc w:val="left"/>
        <w:rPr>
          <w:rFonts w:ascii="宋体" w:hAnsi="宋体" w:eastAsia="宋体"/>
          <w:szCs w:val="21"/>
        </w:rPr>
      </w:pPr>
      <w:r>
        <w:rPr>
          <w:rFonts w:ascii="宋体" w:hAnsi="宋体" w:eastAsia="宋体" w:cs="Arial"/>
          <w:szCs w:val="21"/>
        </w:rPr>
        <w:t>若参评建筑</w:t>
      </w:r>
      <w:r>
        <w:rPr>
          <w:rFonts w:hint="eastAsia" w:ascii="宋体" w:hAnsi="宋体" w:eastAsia="宋体" w:cs="Arial"/>
          <w:szCs w:val="21"/>
        </w:rPr>
        <w:t>业主</w:t>
      </w:r>
      <w:r>
        <w:rPr>
          <w:rFonts w:ascii="宋体" w:hAnsi="宋体" w:eastAsia="宋体" w:cs="Arial"/>
          <w:szCs w:val="21"/>
        </w:rPr>
        <w:t>自身运营</w:t>
      </w:r>
      <w:r>
        <w:rPr>
          <w:rFonts w:hint="eastAsia" w:ascii="宋体" w:hAnsi="宋体" w:eastAsia="宋体" w:cs="Arial"/>
          <w:szCs w:val="21"/>
        </w:rPr>
        <w:t>区域</w:t>
      </w:r>
      <w:r>
        <w:rPr>
          <w:rFonts w:ascii="宋体" w:hAnsi="宋体" w:eastAsia="宋体" w:cs="Arial"/>
          <w:szCs w:val="21"/>
        </w:rPr>
        <w:t>实现净零，且有超过67%的租户面积达到净零，则获得“净零运营·金级”称号；</w:t>
      </w:r>
    </w:p>
    <w:p w14:paraId="28A789F7">
      <w:pPr>
        <w:numPr>
          <w:ilvl w:val="0"/>
          <w:numId w:val="14"/>
        </w:numPr>
        <w:spacing w:line="288" w:lineRule="auto"/>
        <w:jc w:val="left"/>
        <w:rPr>
          <w:rFonts w:ascii="宋体" w:hAnsi="宋体" w:eastAsia="宋体"/>
          <w:szCs w:val="21"/>
        </w:rPr>
      </w:pPr>
      <w:r>
        <w:rPr>
          <w:rFonts w:ascii="宋体" w:hAnsi="宋体" w:eastAsia="宋体" w:cs="Arial"/>
          <w:szCs w:val="21"/>
        </w:rPr>
        <w:t>若参评建筑</w:t>
      </w:r>
      <w:r>
        <w:rPr>
          <w:rFonts w:hint="eastAsia" w:ascii="宋体" w:hAnsi="宋体" w:eastAsia="宋体" w:cs="Arial"/>
          <w:szCs w:val="21"/>
        </w:rPr>
        <w:t>业主</w:t>
      </w:r>
      <w:r>
        <w:rPr>
          <w:rFonts w:ascii="宋体" w:hAnsi="宋体" w:eastAsia="宋体" w:cs="Arial"/>
          <w:szCs w:val="21"/>
        </w:rPr>
        <w:t>自身运营</w:t>
      </w:r>
      <w:r>
        <w:rPr>
          <w:rFonts w:hint="eastAsia" w:ascii="宋体" w:hAnsi="宋体" w:eastAsia="宋体" w:cs="Arial"/>
          <w:szCs w:val="21"/>
        </w:rPr>
        <w:t>区域</w:t>
      </w:r>
      <w:r>
        <w:rPr>
          <w:rFonts w:ascii="宋体" w:hAnsi="宋体" w:eastAsia="宋体" w:cs="Arial"/>
          <w:szCs w:val="21"/>
        </w:rPr>
        <w:t>实现净零，且有超过33%但不足67%的租户面积达到净零，则获得“净零运营·银级”称号；</w:t>
      </w:r>
    </w:p>
    <w:p w14:paraId="3E648AE4">
      <w:pPr>
        <w:numPr>
          <w:ilvl w:val="0"/>
          <w:numId w:val="14"/>
        </w:numPr>
        <w:spacing w:line="288" w:lineRule="auto"/>
        <w:jc w:val="left"/>
        <w:rPr>
          <w:rFonts w:ascii="宋体" w:hAnsi="宋体" w:eastAsia="宋体"/>
          <w:szCs w:val="21"/>
        </w:rPr>
      </w:pPr>
      <w:r>
        <w:rPr>
          <w:rFonts w:ascii="宋体" w:hAnsi="宋体" w:eastAsia="宋体" w:cs="Arial"/>
          <w:szCs w:val="21"/>
        </w:rPr>
        <w:t>若参评建筑</w:t>
      </w:r>
      <w:r>
        <w:rPr>
          <w:rFonts w:hint="eastAsia" w:ascii="宋体" w:hAnsi="宋体" w:eastAsia="宋体" w:cs="Arial"/>
          <w:szCs w:val="21"/>
        </w:rPr>
        <w:t>业主</w:t>
      </w:r>
      <w:r>
        <w:rPr>
          <w:rFonts w:ascii="宋体" w:hAnsi="宋体" w:eastAsia="宋体" w:cs="Arial"/>
          <w:szCs w:val="21"/>
        </w:rPr>
        <w:t>自身运营</w:t>
      </w:r>
      <w:r>
        <w:rPr>
          <w:rFonts w:hint="eastAsia" w:ascii="宋体" w:hAnsi="宋体" w:eastAsia="宋体" w:cs="Arial"/>
          <w:szCs w:val="21"/>
        </w:rPr>
        <w:t>区域</w:t>
      </w:r>
      <w:r>
        <w:rPr>
          <w:rFonts w:ascii="宋体" w:hAnsi="宋体" w:eastAsia="宋体" w:cs="Arial"/>
          <w:szCs w:val="21"/>
        </w:rPr>
        <w:t>实现净零，但达到净零的租户面积不足33%，则获得“净零运营·铜级”称号。</w:t>
      </w:r>
    </w:p>
    <w:p w14:paraId="32313594">
      <w:pPr>
        <w:spacing w:line="288" w:lineRule="auto"/>
        <w:ind w:left="453"/>
        <w:jc w:val="left"/>
        <w:rPr>
          <w:rFonts w:ascii="宋体" w:hAnsi="宋体" w:eastAsia="宋体"/>
          <w:sz w:val="18"/>
          <w:szCs w:val="18"/>
        </w:rPr>
      </w:pPr>
      <w:r>
        <w:rPr>
          <w:rFonts w:ascii="黑体" w:hAnsi="黑体" w:eastAsia="黑体" w:cs="Arial"/>
          <w:sz w:val="18"/>
          <w:szCs w:val="18"/>
        </w:rPr>
        <w:t>注1：</w:t>
      </w:r>
      <w:r>
        <w:rPr>
          <w:rFonts w:hint="eastAsia" w:ascii="宋体" w:hAnsi="宋体" w:eastAsia="宋体" w:cs="Arial"/>
          <w:sz w:val="18"/>
          <w:szCs w:val="18"/>
        </w:rPr>
        <w:t>业主自身运营区域</w:t>
      </w:r>
      <w:r>
        <w:rPr>
          <w:rFonts w:ascii="宋体" w:hAnsi="宋体" w:eastAsia="宋体" w:cs="Arial"/>
          <w:sz w:val="18"/>
          <w:szCs w:val="18"/>
        </w:rPr>
        <w:t>和租户</w:t>
      </w:r>
      <w:r>
        <w:rPr>
          <w:rFonts w:hint="eastAsia" w:ascii="宋体" w:hAnsi="宋体" w:eastAsia="宋体" w:cs="Arial"/>
          <w:sz w:val="18"/>
          <w:szCs w:val="18"/>
        </w:rPr>
        <w:t>区域</w:t>
      </w:r>
      <w:r>
        <w:rPr>
          <w:rFonts w:ascii="宋体" w:hAnsi="宋体" w:eastAsia="宋体" w:cs="Arial"/>
          <w:sz w:val="18"/>
          <w:szCs w:val="18"/>
        </w:rPr>
        <w:t>实现净零达成应满足对于残留排放的判定要求（见4.3.3.3)、满足碳</w:t>
      </w:r>
      <w:r>
        <w:rPr>
          <w:rFonts w:hint="eastAsia" w:ascii="宋体" w:hAnsi="宋体" w:eastAsia="宋体" w:cs="Arial"/>
          <w:sz w:val="18"/>
          <w:szCs w:val="18"/>
        </w:rPr>
        <w:t>清除</w:t>
      </w:r>
      <w:r>
        <w:rPr>
          <w:rFonts w:ascii="宋体" w:hAnsi="宋体" w:eastAsia="宋体" w:cs="Arial"/>
          <w:sz w:val="18"/>
          <w:szCs w:val="18"/>
        </w:rPr>
        <w:t>的碳抵消的要求（见4.3.3.3和4.3.3.4）。</w:t>
      </w:r>
    </w:p>
    <w:p w14:paraId="24E1460F">
      <w:pPr>
        <w:spacing w:line="288" w:lineRule="auto"/>
        <w:ind w:left="453"/>
        <w:jc w:val="left"/>
        <w:rPr>
          <w:rFonts w:ascii="宋体" w:hAnsi="宋体" w:eastAsia="宋体"/>
          <w:sz w:val="18"/>
          <w:szCs w:val="18"/>
        </w:rPr>
      </w:pPr>
      <w:r>
        <w:rPr>
          <w:rFonts w:ascii="黑体" w:hAnsi="黑体" w:eastAsia="黑体" w:cs="Arial"/>
          <w:sz w:val="18"/>
          <w:szCs w:val="18"/>
        </w:rPr>
        <w:t>注2：</w:t>
      </w:r>
      <w:r>
        <w:rPr>
          <w:rFonts w:ascii="宋体" w:hAnsi="宋体" w:eastAsia="宋体" w:cs="Arial"/>
          <w:sz w:val="18"/>
          <w:szCs w:val="18"/>
        </w:rPr>
        <w:t>若参评建筑</w:t>
      </w:r>
      <w:r>
        <w:rPr>
          <w:rFonts w:hint="eastAsia" w:ascii="宋体" w:hAnsi="宋体" w:eastAsia="宋体" w:cs="Arial"/>
          <w:sz w:val="18"/>
          <w:szCs w:val="18"/>
        </w:rPr>
        <w:t>业主自身运营区域</w:t>
      </w:r>
      <w:r>
        <w:rPr>
          <w:rFonts w:ascii="宋体" w:hAnsi="宋体" w:eastAsia="宋体" w:cs="Arial"/>
          <w:sz w:val="18"/>
          <w:szCs w:val="18"/>
        </w:rPr>
        <w:t>实现净零，且全部租户面积达到净零，则应进行“净零达成”评价</w:t>
      </w:r>
      <w:r>
        <w:rPr>
          <w:rFonts w:hint="eastAsia" w:ascii="宋体" w:hAnsi="宋体" w:eastAsia="宋体" w:cs="Arial"/>
          <w:sz w:val="18"/>
          <w:szCs w:val="18"/>
        </w:rPr>
        <w:t>（见5.7）</w:t>
      </w:r>
      <w:r>
        <w:rPr>
          <w:rFonts w:ascii="宋体" w:hAnsi="宋体" w:eastAsia="宋体" w:cs="Arial"/>
          <w:sz w:val="18"/>
          <w:szCs w:val="18"/>
        </w:rPr>
        <w:t>。</w:t>
      </w:r>
    </w:p>
    <w:p w14:paraId="71497860">
      <w:pPr>
        <w:spacing w:line="288" w:lineRule="auto"/>
        <w:ind w:left="453"/>
        <w:jc w:val="left"/>
        <w:rPr>
          <w:rFonts w:ascii="宋体" w:hAnsi="宋体" w:eastAsia="宋体"/>
          <w:sz w:val="18"/>
          <w:szCs w:val="18"/>
        </w:rPr>
      </w:pPr>
      <w:r>
        <w:rPr>
          <w:rFonts w:ascii="黑体" w:hAnsi="黑体" w:eastAsia="黑体" w:cs="Arial"/>
          <w:sz w:val="18"/>
          <w:szCs w:val="18"/>
        </w:rPr>
        <w:t>注3：</w:t>
      </w:r>
      <w:r>
        <w:rPr>
          <w:rFonts w:ascii="宋体" w:hAnsi="宋体" w:eastAsia="宋体" w:cs="Arial"/>
          <w:sz w:val="18"/>
          <w:szCs w:val="18"/>
        </w:rPr>
        <w:t>若参评建筑中存在非公共区域的空置租户面积，则该部分的碳排放量应归属于参评建筑运营范围。</w:t>
      </w:r>
    </w:p>
    <w:p w14:paraId="2A9BED4B">
      <w:pPr>
        <w:spacing w:line="288" w:lineRule="auto"/>
        <w:jc w:val="left"/>
        <w:rPr>
          <w:rFonts w:ascii="宋体" w:hAnsi="宋体" w:eastAsia="宋体"/>
          <w:szCs w:val="21"/>
        </w:rPr>
      </w:pPr>
      <w:r>
        <w:rPr>
          <w:rFonts w:hint="eastAsia" w:ascii="黑体" w:hAnsi="黑体" w:eastAsia="黑体" w:cs="Arial"/>
          <w:szCs w:val="21"/>
        </w:rPr>
        <w:t xml:space="preserve">5.5.3 </w:t>
      </w:r>
      <w:r>
        <w:rPr>
          <w:rFonts w:ascii="宋体" w:hAnsi="宋体" w:eastAsia="宋体" w:cs="Arial"/>
          <w:szCs w:val="21"/>
        </w:rPr>
        <w:t>净零运营评价方法如图</w:t>
      </w:r>
      <w:r>
        <w:rPr>
          <w:rFonts w:hint="eastAsia" w:ascii="宋体" w:hAnsi="宋体" w:eastAsia="宋体" w:cs="Arial"/>
          <w:szCs w:val="21"/>
        </w:rPr>
        <w:t>3</w:t>
      </w:r>
      <w:r>
        <w:rPr>
          <w:rFonts w:ascii="宋体" w:hAnsi="宋体" w:eastAsia="宋体" w:cs="Arial"/>
          <w:szCs w:val="21"/>
        </w:rPr>
        <w:t>所示。</w:t>
      </w:r>
    </w:p>
    <w:p w14:paraId="3AEB17CF">
      <w:pPr>
        <w:spacing w:before="120" w:beforeLines="50" w:after="120" w:afterLines="50" w:line="288" w:lineRule="auto"/>
        <w:jc w:val="center"/>
        <w:rPr>
          <w:rFonts w:ascii="宋体" w:hAnsi="宋体" w:eastAsia="宋体"/>
          <w:szCs w:val="21"/>
        </w:rPr>
      </w:pPr>
      <w:r>
        <w:rPr>
          <w:rFonts w:ascii="宋体" w:hAnsi="宋体" w:eastAsia="宋体"/>
          <w:szCs w:val="21"/>
        </w:rPr>
        <w:drawing>
          <wp:inline distT="0" distB="0" distL="0" distR="0">
            <wp:extent cx="5698490" cy="3058160"/>
            <wp:effectExtent l="0" t="0" r="0" b="0"/>
            <wp:docPr id="1834429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29939" name="图片 1"/>
                    <pic:cNvPicPr>
                      <a:picLocks noChangeAspect="1"/>
                    </pic:cNvPicPr>
                  </pic:nvPicPr>
                  <pic:blipFill>
                    <a:blip r:embed="rId9"/>
                    <a:stretch>
                      <a:fillRect/>
                    </a:stretch>
                  </pic:blipFill>
                  <pic:spPr>
                    <a:xfrm>
                      <a:off x="0" y="0"/>
                      <a:ext cx="5698490" cy="3058160"/>
                    </a:xfrm>
                    <a:prstGeom prst="rect">
                      <a:avLst/>
                    </a:prstGeom>
                  </pic:spPr>
                </pic:pic>
              </a:graphicData>
            </a:graphic>
          </wp:inline>
        </w:drawing>
      </w:r>
    </w:p>
    <w:p w14:paraId="646F2D8E">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4</w:t>
      </w:r>
      <w:r>
        <w:rPr>
          <w:rFonts w:ascii="黑体" w:hAnsi="黑体" w:eastAsia="黑体" w:cs="Calibri"/>
          <w:szCs w:val="21"/>
        </w:rPr>
        <w:t xml:space="preserve"> 净零</w:t>
      </w:r>
      <w:r>
        <w:rPr>
          <w:rFonts w:hint="eastAsia" w:ascii="黑体" w:hAnsi="黑体" w:eastAsia="黑体" w:cs="Calibri"/>
          <w:szCs w:val="21"/>
        </w:rPr>
        <w:t>运营</w:t>
      </w:r>
      <w:r>
        <w:rPr>
          <w:rFonts w:ascii="黑体" w:hAnsi="黑体" w:eastAsia="黑体" w:cs="Calibri"/>
          <w:szCs w:val="21"/>
        </w:rPr>
        <w:t>评价方法</w:t>
      </w:r>
    </w:p>
    <w:p w14:paraId="67FD3790">
      <w:pPr>
        <w:pStyle w:val="3"/>
        <w:numPr>
          <w:ilvl w:val="1"/>
          <w:numId w:val="13"/>
        </w:numPr>
        <w:spacing w:before="240" w:beforeLines="100" w:after="120"/>
        <w:rPr>
          <w:rFonts w:ascii="黑体" w:hAnsi="黑体" w:eastAsia="黑体"/>
          <w:b w:val="0"/>
          <w:sz w:val="21"/>
          <w:szCs w:val="21"/>
          <w14:ligatures w14:val="none"/>
        </w:rPr>
      </w:pPr>
      <w:bookmarkStart w:id="48" w:name="heading_30"/>
      <w:bookmarkStart w:id="49" w:name="_Toc167487092"/>
      <w:r>
        <w:rPr>
          <w:rFonts w:ascii="黑体" w:hAnsi="黑体" w:eastAsia="黑体"/>
          <w:b w:val="0"/>
          <w:sz w:val="21"/>
          <w:szCs w:val="21"/>
          <w14:ligatures w14:val="none"/>
        </w:rPr>
        <w:t>净零就绪</w:t>
      </w:r>
      <w:bookmarkEnd w:id="48"/>
      <w:bookmarkEnd w:id="49"/>
    </w:p>
    <w:p w14:paraId="37E2DA56">
      <w:pPr>
        <w:spacing w:line="288" w:lineRule="auto"/>
        <w:rPr>
          <w:rFonts w:ascii="宋体" w:hAnsi="宋体" w:eastAsia="宋体" w:cs="Arial"/>
          <w:szCs w:val="21"/>
        </w:rPr>
      </w:pPr>
      <w:r>
        <w:rPr>
          <w:rFonts w:hint="eastAsia" w:ascii="黑体" w:hAnsi="黑体" w:eastAsia="黑体" w:cs="Arial"/>
          <w:szCs w:val="21"/>
        </w:rPr>
        <w:t xml:space="preserve">5.6.1 </w:t>
      </w:r>
      <w:r>
        <w:rPr>
          <w:rFonts w:ascii="宋体" w:hAnsi="宋体" w:eastAsia="宋体" w:cs="Arial"/>
          <w:szCs w:val="21"/>
        </w:rPr>
        <w:t>净零就绪评价</w:t>
      </w:r>
      <w:r>
        <w:rPr>
          <w:rFonts w:hint="eastAsia" w:ascii="宋体" w:hAnsi="宋体" w:eastAsia="宋体" w:cs="Arial"/>
          <w:szCs w:val="21"/>
        </w:rPr>
        <w:t>应在参评</w:t>
      </w:r>
      <w:r>
        <w:rPr>
          <w:rFonts w:ascii="宋体" w:hAnsi="宋体" w:eastAsia="宋体" w:cs="Arial"/>
          <w:szCs w:val="21"/>
        </w:rPr>
        <w:t>建筑已具备在有效期内的“净零进程建筑”称号</w:t>
      </w:r>
      <w:r>
        <w:rPr>
          <w:rFonts w:hint="eastAsia" w:ascii="宋体" w:hAnsi="宋体" w:eastAsia="宋体" w:cs="Arial"/>
          <w:szCs w:val="21"/>
        </w:rPr>
        <w:t>之后申请</w:t>
      </w:r>
      <w:r>
        <w:rPr>
          <w:rFonts w:ascii="宋体" w:hAnsi="宋体" w:eastAsia="宋体" w:cs="Arial"/>
          <w:szCs w:val="21"/>
        </w:rPr>
        <w:t>。</w:t>
      </w:r>
    </w:p>
    <w:p w14:paraId="14DED71B">
      <w:pPr>
        <w:spacing w:line="288" w:lineRule="auto"/>
        <w:rPr>
          <w:rFonts w:ascii="宋体" w:hAnsi="宋体" w:eastAsia="宋体"/>
          <w:szCs w:val="21"/>
        </w:rPr>
      </w:pPr>
      <w:r>
        <w:rPr>
          <w:rFonts w:hint="eastAsia" w:ascii="黑体" w:hAnsi="黑体" w:eastAsia="黑体" w:cs="Arial"/>
          <w:szCs w:val="21"/>
        </w:rPr>
        <w:t xml:space="preserve">5.6.2 </w:t>
      </w:r>
      <w:r>
        <w:rPr>
          <w:rFonts w:ascii="宋体" w:hAnsi="宋体" w:eastAsia="宋体" w:cs="Arial"/>
          <w:szCs w:val="21"/>
        </w:rPr>
        <w:t>评审机构根据净零就绪指标（见5.2.2），评估其是否</w:t>
      </w:r>
      <w:r>
        <w:rPr>
          <w:rFonts w:hint="eastAsia" w:ascii="宋体" w:hAnsi="宋体" w:eastAsia="宋体" w:cs="Arial"/>
          <w:szCs w:val="21"/>
        </w:rPr>
        <w:t>满足</w:t>
      </w:r>
      <w:r>
        <w:rPr>
          <w:rFonts w:ascii="宋体" w:hAnsi="宋体" w:eastAsia="宋体" w:cs="Arial"/>
          <w:szCs w:val="21"/>
        </w:rPr>
        <w:t>获得“净零就绪”建筑称号的条件。若参评建筑满足净零就绪指标的要求，则获得“净零就绪”建筑称号；若未能满足，不影响已获得的称号。</w:t>
      </w:r>
    </w:p>
    <w:p w14:paraId="43EEF3AF">
      <w:pPr>
        <w:spacing w:line="288" w:lineRule="auto"/>
        <w:rPr>
          <w:rFonts w:ascii="宋体" w:hAnsi="宋体" w:eastAsia="宋体"/>
          <w:szCs w:val="21"/>
        </w:rPr>
      </w:pPr>
      <w:r>
        <w:rPr>
          <w:rFonts w:hint="eastAsia" w:ascii="黑体" w:hAnsi="黑体" w:eastAsia="黑体" w:cs="Arial"/>
          <w:szCs w:val="21"/>
        </w:rPr>
        <w:t xml:space="preserve">5.6.3 </w:t>
      </w:r>
      <w:r>
        <w:rPr>
          <w:rFonts w:ascii="宋体" w:hAnsi="宋体" w:eastAsia="宋体" w:cs="Arial"/>
          <w:szCs w:val="21"/>
        </w:rPr>
        <w:t>净零就绪评价方法如图</w:t>
      </w:r>
      <w:r>
        <w:rPr>
          <w:rFonts w:hint="eastAsia" w:ascii="宋体" w:hAnsi="宋体" w:eastAsia="宋体" w:cs="Arial"/>
          <w:szCs w:val="21"/>
        </w:rPr>
        <w:t>5</w:t>
      </w:r>
      <w:r>
        <w:rPr>
          <w:rFonts w:ascii="宋体" w:hAnsi="宋体" w:eastAsia="宋体" w:cs="Arial"/>
          <w:szCs w:val="21"/>
        </w:rPr>
        <w:t>所示。</w:t>
      </w:r>
    </w:p>
    <w:p w14:paraId="4107685A">
      <w:pPr>
        <w:spacing w:line="288" w:lineRule="auto"/>
        <w:jc w:val="center"/>
        <w:rPr>
          <w:rFonts w:ascii="宋体" w:hAnsi="宋体" w:eastAsia="宋体"/>
          <w:szCs w:val="21"/>
        </w:rPr>
      </w:pPr>
      <w:r>
        <w:rPr>
          <w:rFonts w:ascii="宋体" w:hAnsi="宋体" w:eastAsia="宋体"/>
          <w:szCs w:val="21"/>
        </w:rPr>
        <w:drawing>
          <wp:inline distT="0" distB="0" distL="0" distR="0">
            <wp:extent cx="3512185" cy="2385060"/>
            <wp:effectExtent l="0" t="0" r="0" b="0"/>
            <wp:docPr id="1289355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55763" name="图片 1"/>
                    <pic:cNvPicPr>
                      <a:picLocks noChangeAspect="1"/>
                    </pic:cNvPicPr>
                  </pic:nvPicPr>
                  <pic:blipFill>
                    <a:blip r:embed="rId10"/>
                    <a:stretch>
                      <a:fillRect/>
                    </a:stretch>
                  </pic:blipFill>
                  <pic:spPr>
                    <a:xfrm>
                      <a:off x="0" y="0"/>
                      <a:ext cx="3528418" cy="2396447"/>
                    </a:xfrm>
                    <a:prstGeom prst="rect">
                      <a:avLst/>
                    </a:prstGeom>
                  </pic:spPr>
                </pic:pic>
              </a:graphicData>
            </a:graphic>
          </wp:inline>
        </w:drawing>
      </w:r>
    </w:p>
    <w:p w14:paraId="2F3A8995">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5</w:t>
      </w:r>
      <w:r>
        <w:rPr>
          <w:rFonts w:ascii="黑体" w:hAnsi="黑体" w:eastAsia="黑体" w:cs="Calibri"/>
          <w:szCs w:val="21"/>
        </w:rPr>
        <w:t>净零就绪评价方法</w:t>
      </w:r>
      <w:bookmarkStart w:id="50" w:name="heading_33"/>
    </w:p>
    <w:p w14:paraId="3CC51563">
      <w:pPr>
        <w:spacing w:before="120" w:beforeLines="50" w:after="120" w:afterLines="50"/>
        <w:rPr>
          <w:rFonts w:ascii="黑体" w:hAnsi="黑体" w:eastAsia="黑体" w:cs="Times New Roman"/>
          <w:szCs w:val="24"/>
          <w14:ligatures w14:val="none"/>
        </w:rPr>
      </w:pPr>
      <w:r>
        <w:rPr>
          <w:rFonts w:ascii="黑体" w:hAnsi="黑体" w:eastAsia="黑体" w:cs="Times New Roman"/>
          <w:szCs w:val="24"/>
          <w14:ligatures w14:val="none"/>
        </w:rPr>
        <w:t>5.6.3 评价指标</w:t>
      </w:r>
      <w:bookmarkEnd w:id="50"/>
    </w:p>
    <w:p w14:paraId="24690675">
      <w:pPr>
        <w:spacing w:before="120" w:after="120" w:line="288" w:lineRule="auto"/>
        <w:ind w:firstLine="420"/>
        <w:jc w:val="left"/>
        <w:rPr>
          <w:rFonts w:ascii="宋体" w:hAnsi="宋体" w:eastAsia="宋体" w:cs="Arial"/>
          <w:szCs w:val="21"/>
        </w:rPr>
      </w:pPr>
      <w:r>
        <w:rPr>
          <w:rFonts w:ascii="宋体" w:hAnsi="宋体" w:eastAsia="宋体" w:cs="Arial"/>
          <w:szCs w:val="21"/>
        </w:rPr>
        <w:t>净零就绪建筑评价应遵循表1中的评价指标</w:t>
      </w:r>
      <w:r>
        <w:rPr>
          <w:rFonts w:hint="eastAsia" w:ascii="宋体" w:hAnsi="宋体" w:eastAsia="宋体" w:cs="Arial"/>
          <w:szCs w:val="21"/>
        </w:rPr>
        <w:t>。</w:t>
      </w:r>
    </w:p>
    <w:p w14:paraId="6AA45AC7">
      <w:pPr>
        <w:spacing w:before="120" w:after="120" w:line="288" w:lineRule="auto"/>
        <w:ind w:firstLine="420"/>
        <w:jc w:val="left"/>
        <w:rPr>
          <w:rFonts w:ascii="宋体" w:hAnsi="宋体" w:eastAsia="宋体" w:cs="Arial"/>
          <w:szCs w:val="21"/>
        </w:rPr>
      </w:pPr>
    </w:p>
    <w:p w14:paraId="3C40ABA3">
      <w:pPr>
        <w:spacing w:before="120" w:after="120" w:line="288" w:lineRule="auto"/>
        <w:ind w:firstLine="420"/>
        <w:jc w:val="left"/>
        <w:rPr>
          <w:rFonts w:ascii="宋体" w:hAnsi="宋体" w:eastAsia="宋体" w:cs="Arial"/>
          <w:szCs w:val="21"/>
        </w:rPr>
      </w:pPr>
    </w:p>
    <w:p w14:paraId="6FEEDD79">
      <w:pPr>
        <w:spacing w:before="120" w:after="120" w:line="288" w:lineRule="auto"/>
        <w:jc w:val="center"/>
        <w:rPr>
          <w:rFonts w:ascii="黑体" w:hAnsi="黑体" w:eastAsia="黑体" w:cs="Arial"/>
          <w:bCs/>
          <w:szCs w:val="21"/>
        </w:rPr>
      </w:pPr>
      <w:r>
        <w:rPr>
          <w:rFonts w:ascii="黑体" w:hAnsi="黑体" w:eastAsia="黑体" w:cs="Arial"/>
          <w:bCs/>
          <w:szCs w:val="21"/>
        </w:rPr>
        <w:t>表1 净零就绪评价</w:t>
      </w:r>
      <w:r>
        <w:rPr>
          <w:rFonts w:hint="eastAsia" w:ascii="黑体" w:hAnsi="黑体" w:eastAsia="黑体" w:cs="Arial"/>
          <w:bCs/>
          <w:szCs w:val="21"/>
        </w:rPr>
        <w:t>定量</w:t>
      </w:r>
      <w:r>
        <w:rPr>
          <w:rFonts w:ascii="黑体" w:hAnsi="黑体" w:eastAsia="黑体" w:cs="Arial"/>
          <w:bCs/>
          <w:szCs w:val="21"/>
        </w:rPr>
        <w:t>指标</w:t>
      </w:r>
    </w:p>
    <w:tbl>
      <w:tblPr>
        <w:tblStyle w:val="10"/>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7199"/>
      </w:tblGrid>
      <w:tr w14:paraId="2DEEB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03CCAD4E">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199" w:type="dxa"/>
            <w:vAlign w:val="center"/>
          </w:tcPr>
          <w:p w14:paraId="478BD8EA">
            <w:pPr>
              <w:widowControl/>
              <w:jc w:val="center"/>
              <w:rPr>
                <w:rFonts w:ascii="宋体" w:hAnsi="宋体" w:eastAsia="宋体" w:cs="宋体"/>
                <w:kern w:val="0"/>
                <w:sz w:val="18"/>
                <w:szCs w:val="18"/>
              </w:rPr>
            </w:pPr>
            <w:r>
              <w:rPr>
                <w:rFonts w:hint="eastAsia" w:ascii="宋体" w:hAnsi="宋体" w:eastAsia="宋体" w:cs="宋体"/>
                <w:kern w:val="0"/>
                <w:sz w:val="18"/>
                <w:szCs w:val="18"/>
              </w:rPr>
              <w:t>要求</w:t>
            </w:r>
          </w:p>
        </w:tc>
      </w:tr>
      <w:tr w14:paraId="68D66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61F724FA">
            <w:pPr>
              <w:widowControl/>
              <w:jc w:val="center"/>
              <w:rPr>
                <w:rFonts w:cs="宋体" w:asciiTheme="minorEastAsia" w:hAnsiTheme="minorEastAsia"/>
                <w:kern w:val="0"/>
                <w:sz w:val="18"/>
                <w:szCs w:val="18"/>
              </w:rPr>
            </w:pPr>
            <w:r>
              <w:rPr>
                <w:rFonts w:ascii="宋体" w:hAnsi="宋体" w:eastAsia="宋体" w:cs="Arial"/>
                <w:bCs/>
                <w:sz w:val="18"/>
                <w:szCs w:val="18"/>
              </w:rPr>
              <w:t>建筑本体节能率</w:t>
            </w:r>
          </w:p>
        </w:tc>
        <w:tc>
          <w:tcPr>
            <w:tcW w:w="7199" w:type="dxa"/>
            <w:shd w:val="clear" w:color="auto" w:fill="auto"/>
          </w:tcPr>
          <w:p w14:paraId="61527358">
            <w:pPr>
              <w:widowControl/>
              <w:rPr>
                <w:rFonts w:cs="宋体" w:asciiTheme="minorEastAsia" w:hAnsiTheme="minorEastAsia"/>
                <w:kern w:val="0"/>
                <w:sz w:val="18"/>
                <w:szCs w:val="18"/>
              </w:rPr>
            </w:pPr>
            <w:r>
              <w:rPr>
                <w:rFonts w:ascii="宋体" w:hAnsi="宋体" w:eastAsia="宋体" w:cs="Arial"/>
                <w:bCs/>
                <w:sz w:val="18"/>
                <w:szCs w:val="18"/>
              </w:rPr>
              <w:t>建筑本体节能率不</w:t>
            </w:r>
            <w:r>
              <w:rPr>
                <w:rFonts w:hint="eastAsia" w:ascii="宋体" w:hAnsi="宋体" w:eastAsia="宋体" w:cs="Arial"/>
                <w:bCs/>
                <w:sz w:val="18"/>
                <w:szCs w:val="18"/>
              </w:rPr>
              <w:t>小</w:t>
            </w:r>
            <w:r>
              <w:rPr>
                <w:rFonts w:ascii="宋体" w:hAnsi="宋体" w:eastAsia="宋体" w:cs="Arial"/>
                <w:bCs/>
                <w:sz w:val="18"/>
                <w:szCs w:val="18"/>
              </w:rPr>
              <w:t>于35%</w:t>
            </w:r>
          </w:p>
        </w:tc>
      </w:tr>
      <w:tr w14:paraId="44AB9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3AB87B20">
            <w:pPr>
              <w:widowControl/>
              <w:jc w:val="center"/>
              <w:rPr>
                <w:rFonts w:cs="宋体" w:asciiTheme="minorEastAsia" w:hAnsiTheme="minorEastAsia"/>
                <w:kern w:val="0"/>
                <w:sz w:val="18"/>
                <w:szCs w:val="18"/>
              </w:rPr>
            </w:pPr>
            <w:r>
              <w:rPr>
                <w:rFonts w:ascii="宋体" w:hAnsi="宋体" w:eastAsia="宋体" w:cs="Arial"/>
                <w:bCs/>
                <w:sz w:val="18"/>
                <w:szCs w:val="18"/>
              </w:rPr>
              <w:t>碳排放</w:t>
            </w:r>
          </w:p>
        </w:tc>
        <w:tc>
          <w:tcPr>
            <w:tcW w:w="7199" w:type="dxa"/>
            <w:shd w:val="clear" w:color="auto" w:fill="auto"/>
          </w:tcPr>
          <w:p w14:paraId="52584B06">
            <w:pPr>
              <w:widowControl/>
              <w:rPr>
                <w:rFonts w:cs="宋体" w:asciiTheme="minorEastAsia" w:hAnsiTheme="minorEastAsia"/>
                <w:kern w:val="0"/>
                <w:sz w:val="18"/>
                <w:szCs w:val="18"/>
              </w:rPr>
            </w:pPr>
            <w:r>
              <w:rPr>
                <w:rFonts w:ascii="宋体" w:hAnsi="宋体" w:eastAsia="宋体" w:cs="Arial"/>
                <w:bCs/>
                <w:sz w:val="18"/>
                <w:szCs w:val="18"/>
              </w:rPr>
              <w:t>建筑</w:t>
            </w:r>
            <w:r>
              <w:rPr>
                <w:rFonts w:hint="eastAsia" w:ascii="宋体" w:hAnsi="宋体" w:eastAsia="宋体" w:cs="Arial"/>
                <w:bCs/>
                <w:sz w:val="18"/>
                <w:szCs w:val="18"/>
              </w:rPr>
              <w:t>运行</w:t>
            </w:r>
            <w:r>
              <w:rPr>
                <w:rFonts w:ascii="宋体" w:hAnsi="宋体" w:eastAsia="宋体" w:cs="Arial"/>
                <w:bCs/>
                <w:sz w:val="18"/>
                <w:szCs w:val="18"/>
              </w:rPr>
              <w:t>碳排放</w:t>
            </w:r>
            <w:r>
              <w:rPr>
                <w:rFonts w:hint="eastAsia" w:ascii="宋体" w:hAnsi="宋体" w:eastAsia="宋体" w:cs="Arial"/>
                <w:bCs/>
                <w:sz w:val="18"/>
                <w:szCs w:val="18"/>
              </w:rPr>
              <w:t>强度</w:t>
            </w:r>
            <w:r>
              <w:rPr>
                <w:rFonts w:ascii="宋体" w:hAnsi="宋体" w:eastAsia="宋体" w:cs="Arial"/>
                <w:bCs/>
                <w:sz w:val="18"/>
                <w:szCs w:val="18"/>
              </w:rPr>
              <w:t>相比基准年下降50%</w:t>
            </w:r>
            <w:r>
              <w:rPr>
                <w:rFonts w:hint="eastAsia" w:ascii="宋体" w:hAnsi="宋体" w:eastAsia="宋体" w:cs="Arial"/>
                <w:bCs/>
                <w:sz w:val="18"/>
                <w:szCs w:val="18"/>
              </w:rPr>
              <w:t>以上</w:t>
            </w:r>
          </w:p>
        </w:tc>
      </w:tr>
      <w:tr w14:paraId="07851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74B69CF5">
            <w:pPr>
              <w:widowControl/>
              <w:jc w:val="center"/>
              <w:rPr>
                <w:rFonts w:cs="宋体" w:asciiTheme="minorEastAsia" w:hAnsiTheme="minorEastAsia"/>
                <w:kern w:val="0"/>
                <w:sz w:val="18"/>
                <w:szCs w:val="18"/>
              </w:rPr>
            </w:pPr>
            <w:r>
              <w:rPr>
                <w:rFonts w:ascii="宋体" w:hAnsi="宋体" w:eastAsia="宋体" w:cs="Arial"/>
                <w:bCs/>
                <w:sz w:val="18"/>
                <w:szCs w:val="18"/>
              </w:rPr>
              <w:t>照明</w:t>
            </w:r>
          </w:p>
        </w:tc>
        <w:tc>
          <w:tcPr>
            <w:tcW w:w="7199" w:type="dxa"/>
            <w:shd w:val="clear" w:color="auto" w:fill="auto"/>
          </w:tcPr>
          <w:p w14:paraId="1CB06468">
            <w:pPr>
              <w:widowControl/>
              <w:rPr>
                <w:rFonts w:cs="宋体" w:asciiTheme="minorEastAsia" w:hAnsiTheme="minorEastAsia"/>
                <w:kern w:val="0"/>
                <w:sz w:val="18"/>
                <w:szCs w:val="18"/>
              </w:rPr>
            </w:pPr>
            <w:r>
              <w:rPr>
                <w:rFonts w:ascii="宋体" w:hAnsi="宋体" w:eastAsia="宋体" w:cs="Arial"/>
                <w:bCs/>
                <w:sz w:val="18"/>
                <w:szCs w:val="18"/>
              </w:rPr>
              <w:t>建筑照明100%采用高效照明技术</w:t>
            </w:r>
            <w:r>
              <w:rPr>
                <w:rFonts w:ascii="宋体" w:hAnsi="宋体" w:eastAsia="宋体" w:cs="Arial"/>
                <w:bCs/>
                <w:sz w:val="18"/>
                <w:szCs w:val="18"/>
                <w:vertAlign w:val="superscript"/>
              </w:rPr>
              <w:t>*</w:t>
            </w:r>
          </w:p>
        </w:tc>
      </w:tr>
      <w:tr w14:paraId="7BCA3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31" w:type="dxa"/>
            <w:gridSpan w:val="2"/>
            <w:shd w:val="clear" w:color="auto" w:fill="auto"/>
            <w:vAlign w:val="center"/>
          </w:tcPr>
          <w:p w14:paraId="5A2FEDFF">
            <w:pPr>
              <w:spacing w:line="288" w:lineRule="auto"/>
              <w:jc w:val="left"/>
              <w:rPr>
                <w:rFonts w:ascii="宋体" w:hAnsi="宋体" w:eastAsia="宋体"/>
                <w:bCs/>
                <w:sz w:val="18"/>
                <w:szCs w:val="18"/>
              </w:rPr>
            </w:pPr>
            <w:r>
              <w:rPr>
                <w:rFonts w:ascii="宋体" w:hAnsi="宋体" w:eastAsia="宋体" w:cs="Arial"/>
                <w:bCs/>
                <w:sz w:val="18"/>
                <w:szCs w:val="18"/>
                <w:vertAlign w:val="superscript"/>
              </w:rPr>
              <w:t>*</w:t>
            </w:r>
            <w:r>
              <w:rPr>
                <w:rFonts w:ascii="宋体" w:hAnsi="宋体" w:eastAsia="宋体" w:cs="Arial"/>
                <w:bCs/>
                <w:sz w:val="18"/>
                <w:szCs w:val="18"/>
              </w:rPr>
              <w:t>照明技术遵照政府/行业最新高效照明规范要求，例如LED技术</w:t>
            </w:r>
          </w:p>
        </w:tc>
      </w:tr>
    </w:tbl>
    <w:p w14:paraId="12C534DA">
      <w:pPr>
        <w:spacing w:before="120" w:after="120" w:line="288" w:lineRule="auto"/>
        <w:jc w:val="center"/>
        <w:rPr>
          <w:rFonts w:ascii="黑体" w:hAnsi="黑体" w:eastAsia="黑体" w:cs="Arial"/>
          <w:bCs/>
          <w:szCs w:val="21"/>
        </w:rPr>
      </w:pPr>
      <w:r>
        <w:rPr>
          <w:rFonts w:ascii="黑体" w:hAnsi="黑体" w:eastAsia="黑体" w:cs="Arial"/>
          <w:bCs/>
          <w:szCs w:val="21"/>
        </w:rPr>
        <w:t>表</w:t>
      </w:r>
      <w:r>
        <w:rPr>
          <w:rFonts w:hint="eastAsia" w:ascii="黑体" w:hAnsi="黑体" w:eastAsia="黑体" w:cs="Arial"/>
          <w:bCs/>
          <w:szCs w:val="21"/>
        </w:rPr>
        <w:t>2</w:t>
      </w:r>
      <w:r>
        <w:rPr>
          <w:rFonts w:ascii="黑体" w:hAnsi="黑体" w:eastAsia="黑体" w:cs="Arial"/>
          <w:bCs/>
          <w:szCs w:val="21"/>
        </w:rPr>
        <w:t xml:space="preserve"> 净零就绪评价</w:t>
      </w:r>
      <w:r>
        <w:rPr>
          <w:rFonts w:hint="eastAsia" w:ascii="黑体" w:hAnsi="黑体" w:eastAsia="黑体" w:cs="Arial"/>
          <w:bCs/>
          <w:szCs w:val="21"/>
        </w:rPr>
        <w:t>定性</w:t>
      </w:r>
      <w:r>
        <w:rPr>
          <w:rFonts w:ascii="黑体" w:hAnsi="黑体" w:eastAsia="黑体" w:cs="Arial"/>
          <w:bCs/>
          <w:szCs w:val="21"/>
        </w:rPr>
        <w:t>指标</w:t>
      </w:r>
    </w:p>
    <w:tbl>
      <w:tblPr>
        <w:tblStyle w:val="10"/>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7199"/>
      </w:tblGrid>
      <w:tr w14:paraId="20B2A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3AE9D1DE">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199" w:type="dxa"/>
            <w:vAlign w:val="center"/>
          </w:tcPr>
          <w:p w14:paraId="3724FAB4">
            <w:pPr>
              <w:widowControl/>
              <w:jc w:val="center"/>
              <w:rPr>
                <w:rFonts w:ascii="宋体" w:hAnsi="宋体" w:eastAsia="宋体" w:cs="宋体"/>
                <w:kern w:val="0"/>
                <w:sz w:val="18"/>
                <w:szCs w:val="18"/>
              </w:rPr>
            </w:pPr>
            <w:r>
              <w:rPr>
                <w:rFonts w:hint="eastAsia" w:ascii="宋体" w:hAnsi="宋体" w:eastAsia="宋体" w:cs="宋体"/>
                <w:kern w:val="0"/>
                <w:sz w:val="18"/>
                <w:szCs w:val="18"/>
              </w:rPr>
              <w:t>要求</w:t>
            </w:r>
          </w:p>
        </w:tc>
      </w:tr>
      <w:tr w14:paraId="26958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010C3384">
            <w:pPr>
              <w:widowControl/>
              <w:jc w:val="center"/>
              <w:rPr>
                <w:rFonts w:cs="宋体" w:asciiTheme="minorEastAsia" w:hAnsiTheme="minorEastAsia"/>
                <w:kern w:val="0"/>
                <w:sz w:val="18"/>
                <w:szCs w:val="18"/>
              </w:rPr>
            </w:pPr>
            <w:r>
              <w:rPr>
                <w:rFonts w:ascii="宋体" w:hAnsi="宋体" w:eastAsia="宋体" w:cs="Arial"/>
                <w:bCs/>
                <w:sz w:val="18"/>
                <w:szCs w:val="18"/>
              </w:rPr>
              <w:t>管理</w:t>
            </w:r>
          </w:p>
        </w:tc>
        <w:tc>
          <w:tcPr>
            <w:tcW w:w="7199" w:type="dxa"/>
          </w:tcPr>
          <w:p w14:paraId="4C20EF9F">
            <w:pPr>
              <w:widowControl/>
              <w:rPr>
                <w:rFonts w:cs="宋体" w:asciiTheme="minorEastAsia" w:hAnsiTheme="minorEastAsia"/>
                <w:kern w:val="0"/>
                <w:sz w:val="18"/>
                <w:szCs w:val="18"/>
              </w:rPr>
            </w:pPr>
            <w:r>
              <w:rPr>
                <w:rFonts w:ascii="宋体" w:hAnsi="宋体" w:eastAsia="宋体" w:cs="Arial"/>
                <w:bCs/>
                <w:sz w:val="18"/>
                <w:szCs w:val="18"/>
              </w:rPr>
              <w:t>建筑应搭建智慧管理平台，通过实时分区检测、分析、预警优化建筑运营，最大程度实现减碳和能效提升</w:t>
            </w:r>
          </w:p>
        </w:tc>
      </w:tr>
      <w:tr w14:paraId="4C63A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5192E426">
            <w:pPr>
              <w:widowControl/>
              <w:jc w:val="center"/>
              <w:rPr>
                <w:rFonts w:cs="宋体" w:asciiTheme="minorEastAsia" w:hAnsiTheme="minorEastAsia"/>
                <w:kern w:val="0"/>
                <w:sz w:val="18"/>
                <w:szCs w:val="18"/>
              </w:rPr>
            </w:pPr>
            <w:r>
              <w:rPr>
                <w:rFonts w:ascii="宋体" w:hAnsi="宋体" w:eastAsia="宋体" w:cs="Arial"/>
                <w:bCs/>
                <w:sz w:val="18"/>
                <w:szCs w:val="18"/>
              </w:rPr>
              <w:t>能效</w:t>
            </w:r>
          </w:p>
        </w:tc>
        <w:tc>
          <w:tcPr>
            <w:tcW w:w="7199" w:type="dxa"/>
          </w:tcPr>
          <w:p w14:paraId="0B476112">
            <w:pPr>
              <w:widowControl/>
              <w:rPr>
                <w:rFonts w:cs="宋体" w:asciiTheme="minorEastAsia" w:hAnsiTheme="minorEastAsia"/>
                <w:kern w:val="0"/>
                <w:sz w:val="18"/>
                <w:szCs w:val="18"/>
              </w:rPr>
            </w:pPr>
            <w:r>
              <w:rPr>
                <w:rFonts w:ascii="宋体" w:hAnsi="宋体" w:eastAsia="宋体" w:cs="Arial"/>
                <w:bCs/>
                <w:sz w:val="18"/>
                <w:szCs w:val="18"/>
              </w:rPr>
              <w:t>建筑应建立中长期能效提升计划，定期披露能效水平</w:t>
            </w:r>
          </w:p>
        </w:tc>
      </w:tr>
      <w:tr w14:paraId="14D88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Align w:val="center"/>
          </w:tcPr>
          <w:p w14:paraId="23DB6A44">
            <w:pPr>
              <w:widowControl/>
              <w:jc w:val="center"/>
              <w:rPr>
                <w:rFonts w:cs="宋体" w:asciiTheme="minorEastAsia" w:hAnsiTheme="minorEastAsia"/>
                <w:kern w:val="0"/>
                <w:sz w:val="18"/>
                <w:szCs w:val="18"/>
              </w:rPr>
            </w:pPr>
            <w:r>
              <w:rPr>
                <w:rFonts w:ascii="宋体" w:hAnsi="宋体" w:eastAsia="宋体" w:cs="Arial"/>
                <w:bCs/>
                <w:sz w:val="18"/>
                <w:szCs w:val="18"/>
              </w:rPr>
              <w:t>资源</w:t>
            </w:r>
          </w:p>
        </w:tc>
        <w:tc>
          <w:tcPr>
            <w:tcW w:w="7199" w:type="dxa"/>
          </w:tcPr>
          <w:p w14:paraId="3388740B">
            <w:pPr>
              <w:widowControl/>
              <w:rPr>
                <w:rFonts w:cs="宋体" w:asciiTheme="minorEastAsia" w:hAnsiTheme="minorEastAsia"/>
                <w:kern w:val="0"/>
                <w:sz w:val="18"/>
                <w:szCs w:val="18"/>
              </w:rPr>
            </w:pPr>
            <w:r>
              <w:rPr>
                <w:rFonts w:ascii="宋体" w:hAnsi="宋体" w:eastAsia="宋体" w:cs="Arial"/>
                <w:bCs/>
                <w:sz w:val="18"/>
                <w:szCs w:val="18"/>
              </w:rPr>
              <w:t>建筑应综合利用各种水资源，采取雨水收集、废水处理回等收措施</w:t>
            </w:r>
          </w:p>
        </w:tc>
      </w:tr>
      <w:tr w14:paraId="370F3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center"/>
          </w:tcPr>
          <w:p w14:paraId="0AC7DF85">
            <w:pPr>
              <w:spacing w:line="288" w:lineRule="auto"/>
              <w:jc w:val="center"/>
              <w:rPr>
                <w:rFonts w:ascii="宋体" w:hAnsi="宋体" w:eastAsia="宋体"/>
                <w:bCs/>
                <w:sz w:val="18"/>
                <w:szCs w:val="18"/>
              </w:rPr>
            </w:pPr>
            <w:r>
              <w:rPr>
                <w:rFonts w:ascii="宋体" w:hAnsi="宋体" w:eastAsia="宋体" w:cs="Arial"/>
                <w:bCs/>
                <w:sz w:val="18"/>
                <w:szCs w:val="18"/>
              </w:rPr>
              <w:t>能源</w:t>
            </w:r>
          </w:p>
        </w:tc>
        <w:tc>
          <w:tcPr>
            <w:tcW w:w="7199" w:type="dxa"/>
          </w:tcPr>
          <w:p w14:paraId="30D6AF49">
            <w:pPr>
              <w:widowControl/>
              <w:rPr>
                <w:rFonts w:cs="宋体" w:asciiTheme="minorEastAsia" w:hAnsiTheme="minorEastAsia"/>
                <w:kern w:val="0"/>
                <w:sz w:val="18"/>
                <w:szCs w:val="18"/>
              </w:rPr>
            </w:pPr>
            <w:r>
              <w:rPr>
                <w:rFonts w:ascii="宋体" w:hAnsi="宋体" w:eastAsia="宋体" w:cs="Arial"/>
                <w:bCs/>
                <w:sz w:val="18"/>
                <w:szCs w:val="18"/>
              </w:rPr>
              <w:t>建筑应实现整体能源电气化水平最大化</w:t>
            </w:r>
          </w:p>
        </w:tc>
      </w:tr>
      <w:tr w14:paraId="47A77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72BE36B7">
            <w:pPr>
              <w:widowControl/>
              <w:jc w:val="center"/>
              <w:rPr>
                <w:rFonts w:cs="宋体" w:asciiTheme="minorEastAsia" w:hAnsiTheme="minorEastAsia"/>
                <w:kern w:val="0"/>
                <w:sz w:val="18"/>
                <w:szCs w:val="18"/>
              </w:rPr>
            </w:pPr>
          </w:p>
        </w:tc>
        <w:tc>
          <w:tcPr>
            <w:tcW w:w="7199" w:type="dxa"/>
          </w:tcPr>
          <w:p w14:paraId="064607D7">
            <w:pPr>
              <w:widowControl/>
              <w:rPr>
                <w:rFonts w:cs="宋体" w:asciiTheme="minorEastAsia" w:hAnsiTheme="minorEastAsia"/>
                <w:kern w:val="0"/>
                <w:sz w:val="18"/>
                <w:szCs w:val="18"/>
              </w:rPr>
            </w:pPr>
            <w:r>
              <w:rPr>
                <w:rFonts w:ascii="宋体" w:hAnsi="宋体" w:eastAsia="宋体" w:cs="Arial"/>
                <w:bCs/>
                <w:sz w:val="18"/>
                <w:szCs w:val="18"/>
              </w:rPr>
              <w:t>建筑供配电系统应具备按核算单元和用能形式进行分类分项计量功能</w:t>
            </w:r>
          </w:p>
        </w:tc>
      </w:tr>
      <w:tr w14:paraId="34815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743FED88">
            <w:pPr>
              <w:widowControl/>
              <w:jc w:val="center"/>
              <w:rPr>
                <w:rFonts w:cs="宋体" w:asciiTheme="minorEastAsia" w:hAnsiTheme="minorEastAsia"/>
                <w:kern w:val="0"/>
                <w:sz w:val="18"/>
                <w:szCs w:val="18"/>
              </w:rPr>
            </w:pPr>
          </w:p>
        </w:tc>
        <w:tc>
          <w:tcPr>
            <w:tcW w:w="7199" w:type="dxa"/>
          </w:tcPr>
          <w:p w14:paraId="538871C4">
            <w:pPr>
              <w:widowControl/>
              <w:rPr>
                <w:rFonts w:cs="宋体" w:asciiTheme="minorEastAsia" w:hAnsiTheme="minorEastAsia"/>
                <w:kern w:val="0"/>
                <w:sz w:val="18"/>
                <w:szCs w:val="18"/>
              </w:rPr>
            </w:pPr>
            <w:r>
              <w:rPr>
                <w:rFonts w:ascii="宋体" w:hAnsi="宋体" w:eastAsia="宋体" w:cs="Arial"/>
                <w:bCs/>
                <w:sz w:val="18"/>
                <w:szCs w:val="18"/>
              </w:rPr>
              <w:t>在技术经济合理的条件下，建筑供电系统应优先选用光伏发电、风光互补等，以实现可再生能源使用比例最大化</w:t>
            </w:r>
          </w:p>
        </w:tc>
      </w:tr>
      <w:tr w14:paraId="65FF7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4CAA1F49">
            <w:pPr>
              <w:widowControl/>
              <w:jc w:val="center"/>
              <w:rPr>
                <w:rFonts w:cs="宋体" w:asciiTheme="minorEastAsia" w:hAnsiTheme="minorEastAsia"/>
                <w:kern w:val="0"/>
                <w:sz w:val="18"/>
                <w:szCs w:val="18"/>
              </w:rPr>
            </w:pPr>
          </w:p>
        </w:tc>
        <w:tc>
          <w:tcPr>
            <w:tcW w:w="7199" w:type="dxa"/>
          </w:tcPr>
          <w:p w14:paraId="357F0C16">
            <w:pPr>
              <w:widowControl/>
              <w:rPr>
                <w:rFonts w:cs="宋体" w:asciiTheme="minorEastAsia" w:hAnsiTheme="minorEastAsia"/>
                <w:kern w:val="0"/>
                <w:sz w:val="18"/>
                <w:szCs w:val="18"/>
              </w:rPr>
            </w:pPr>
            <w:r>
              <w:rPr>
                <w:rFonts w:ascii="宋体" w:hAnsi="宋体" w:eastAsia="宋体" w:cs="Arial"/>
                <w:bCs/>
                <w:sz w:val="18"/>
                <w:szCs w:val="18"/>
              </w:rPr>
              <w:t>建筑应建立中长期绿电消费提升计划，配备电储能设施，定期披露绿电占比水平</w:t>
            </w:r>
          </w:p>
        </w:tc>
      </w:tr>
      <w:tr w14:paraId="51D34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16EB64B7">
            <w:pPr>
              <w:widowControl/>
              <w:jc w:val="center"/>
              <w:rPr>
                <w:rFonts w:cs="宋体" w:asciiTheme="minorEastAsia" w:hAnsiTheme="minorEastAsia"/>
                <w:kern w:val="0"/>
                <w:sz w:val="18"/>
                <w:szCs w:val="18"/>
              </w:rPr>
            </w:pPr>
          </w:p>
        </w:tc>
        <w:tc>
          <w:tcPr>
            <w:tcW w:w="7199" w:type="dxa"/>
          </w:tcPr>
          <w:p w14:paraId="5F837959">
            <w:pPr>
              <w:widowControl/>
              <w:rPr>
                <w:rFonts w:cs="宋体" w:asciiTheme="minorEastAsia" w:hAnsiTheme="minorEastAsia"/>
                <w:kern w:val="0"/>
                <w:sz w:val="18"/>
                <w:szCs w:val="18"/>
              </w:rPr>
            </w:pPr>
            <w:r>
              <w:rPr>
                <w:rFonts w:ascii="宋体" w:hAnsi="宋体" w:eastAsia="宋体" w:cs="Arial"/>
                <w:bCs/>
                <w:sz w:val="18"/>
                <w:szCs w:val="18"/>
              </w:rPr>
              <w:t>建筑宜采用可再生能源微网系统，利用蓄能、用能设备协同控制技术，提升可再生能源就地消纳比例</w:t>
            </w:r>
          </w:p>
        </w:tc>
      </w:tr>
      <w:tr w14:paraId="55B5C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1C8845E0">
            <w:pPr>
              <w:widowControl/>
              <w:jc w:val="center"/>
              <w:rPr>
                <w:rFonts w:cs="宋体" w:asciiTheme="minorEastAsia" w:hAnsiTheme="minorEastAsia"/>
                <w:kern w:val="0"/>
                <w:sz w:val="18"/>
                <w:szCs w:val="18"/>
              </w:rPr>
            </w:pPr>
          </w:p>
        </w:tc>
        <w:tc>
          <w:tcPr>
            <w:tcW w:w="7199" w:type="dxa"/>
          </w:tcPr>
          <w:p w14:paraId="32ED53D4">
            <w:pPr>
              <w:widowControl/>
              <w:rPr>
                <w:rFonts w:cs="宋体" w:asciiTheme="minorEastAsia" w:hAnsiTheme="minorEastAsia"/>
                <w:kern w:val="0"/>
                <w:sz w:val="18"/>
                <w:szCs w:val="18"/>
              </w:rPr>
            </w:pPr>
            <w:r>
              <w:rPr>
                <w:rFonts w:ascii="宋体" w:hAnsi="宋体" w:eastAsia="宋体" w:cs="Arial"/>
                <w:bCs/>
                <w:sz w:val="18"/>
                <w:szCs w:val="18"/>
              </w:rPr>
              <w:t>建筑宜结合建筑及周边场地可再生能源系统，设置储电、蓄热（冷）、电动车充电桩等设施，实现不同蓄能形式灵活应用，其中蓄能用蓄电池的75%荷电状态的充电效率应不低于90%</w:t>
            </w:r>
          </w:p>
        </w:tc>
      </w:tr>
      <w:tr w14:paraId="250BB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6A4524F3">
            <w:pPr>
              <w:widowControl/>
              <w:jc w:val="center"/>
              <w:rPr>
                <w:rFonts w:cs="宋体" w:asciiTheme="minorEastAsia" w:hAnsiTheme="minorEastAsia"/>
                <w:kern w:val="0"/>
                <w:sz w:val="18"/>
                <w:szCs w:val="18"/>
              </w:rPr>
            </w:pPr>
          </w:p>
        </w:tc>
        <w:tc>
          <w:tcPr>
            <w:tcW w:w="7199" w:type="dxa"/>
          </w:tcPr>
          <w:p w14:paraId="79A75F9B">
            <w:pPr>
              <w:widowControl/>
              <w:rPr>
                <w:rFonts w:cs="宋体" w:asciiTheme="minorEastAsia" w:hAnsiTheme="minorEastAsia"/>
                <w:kern w:val="0"/>
                <w:sz w:val="18"/>
                <w:szCs w:val="18"/>
              </w:rPr>
            </w:pPr>
            <w:r>
              <w:rPr>
                <w:rFonts w:ascii="宋体" w:hAnsi="宋体" w:eastAsia="宋体" w:cs="Arial"/>
                <w:bCs/>
                <w:sz w:val="18"/>
                <w:szCs w:val="18"/>
              </w:rPr>
              <w:t>建筑宜采用光储直柔技术，且宜具备与电网友好互动的接口</w:t>
            </w:r>
          </w:p>
        </w:tc>
      </w:tr>
      <w:tr w14:paraId="516FB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16CE9EE6">
            <w:pPr>
              <w:widowControl/>
              <w:jc w:val="center"/>
              <w:rPr>
                <w:rFonts w:cs="宋体" w:asciiTheme="minorEastAsia" w:hAnsiTheme="minorEastAsia"/>
                <w:kern w:val="0"/>
                <w:sz w:val="18"/>
                <w:szCs w:val="18"/>
              </w:rPr>
            </w:pPr>
          </w:p>
        </w:tc>
        <w:tc>
          <w:tcPr>
            <w:tcW w:w="7199" w:type="dxa"/>
          </w:tcPr>
          <w:p w14:paraId="0FB297A1">
            <w:pPr>
              <w:widowControl/>
              <w:rPr>
                <w:rFonts w:cs="宋体" w:asciiTheme="minorEastAsia" w:hAnsiTheme="minorEastAsia"/>
                <w:kern w:val="0"/>
                <w:sz w:val="18"/>
                <w:szCs w:val="18"/>
              </w:rPr>
            </w:pPr>
            <w:r>
              <w:rPr>
                <w:rFonts w:ascii="宋体" w:hAnsi="宋体" w:eastAsia="宋体" w:cs="Arial"/>
                <w:bCs/>
                <w:sz w:val="18"/>
                <w:szCs w:val="18"/>
              </w:rPr>
              <w:t>用电设备宜具备用电负荷调节功能，采用光储直柔技术建筑的用电设备应具备功率主动响应功能</w:t>
            </w:r>
          </w:p>
        </w:tc>
      </w:tr>
      <w:tr w14:paraId="40086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center"/>
          </w:tcPr>
          <w:p w14:paraId="0908F9F2">
            <w:pPr>
              <w:spacing w:line="288" w:lineRule="auto"/>
              <w:jc w:val="center"/>
              <w:rPr>
                <w:rFonts w:ascii="宋体" w:hAnsi="宋体" w:eastAsia="宋体"/>
                <w:bCs/>
                <w:sz w:val="18"/>
                <w:szCs w:val="18"/>
              </w:rPr>
            </w:pPr>
            <w:r>
              <w:rPr>
                <w:rFonts w:ascii="宋体" w:hAnsi="宋体" w:eastAsia="宋体" w:cs="Arial"/>
                <w:bCs/>
                <w:sz w:val="18"/>
                <w:szCs w:val="18"/>
              </w:rPr>
              <w:t>供热和制冷</w:t>
            </w:r>
          </w:p>
        </w:tc>
        <w:tc>
          <w:tcPr>
            <w:tcW w:w="7199" w:type="dxa"/>
          </w:tcPr>
          <w:p w14:paraId="3869705D">
            <w:pPr>
              <w:widowControl/>
              <w:rPr>
                <w:rFonts w:cs="宋体" w:asciiTheme="minorEastAsia" w:hAnsiTheme="minorEastAsia"/>
                <w:kern w:val="0"/>
                <w:sz w:val="18"/>
                <w:szCs w:val="18"/>
              </w:rPr>
            </w:pPr>
            <w:r>
              <w:rPr>
                <w:rFonts w:ascii="宋体" w:hAnsi="宋体" w:eastAsia="宋体" w:cs="Arial"/>
                <w:bCs/>
                <w:sz w:val="18"/>
                <w:szCs w:val="18"/>
              </w:rPr>
              <w:t>在技术经济合理的条件下，建筑冷热源和热水热源应优先选用太阳能光热系统、地源热泵、空气源热泵等，以实现可再生能源使用比例最大化</w:t>
            </w:r>
          </w:p>
        </w:tc>
      </w:tr>
      <w:tr w14:paraId="1CF5F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07549C1E">
            <w:pPr>
              <w:widowControl/>
              <w:jc w:val="center"/>
              <w:rPr>
                <w:rFonts w:cs="宋体" w:asciiTheme="minorEastAsia" w:hAnsiTheme="minorEastAsia"/>
                <w:kern w:val="0"/>
                <w:sz w:val="18"/>
                <w:szCs w:val="18"/>
              </w:rPr>
            </w:pPr>
          </w:p>
        </w:tc>
        <w:tc>
          <w:tcPr>
            <w:tcW w:w="7199" w:type="dxa"/>
          </w:tcPr>
          <w:p w14:paraId="53F5EF9B">
            <w:pPr>
              <w:widowControl/>
              <w:rPr>
                <w:rFonts w:cs="宋体" w:asciiTheme="minorEastAsia" w:hAnsiTheme="minorEastAsia"/>
                <w:kern w:val="0"/>
                <w:sz w:val="18"/>
                <w:szCs w:val="18"/>
              </w:rPr>
            </w:pPr>
            <w:r>
              <w:rPr>
                <w:rFonts w:ascii="宋体" w:hAnsi="宋体" w:eastAsia="宋体" w:cs="Arial"/>
                <w:bCs/>
                <w:sz w:val="18"/>
                <w:szCs w:val="18"/>
              </w:rPr>
              <w:t>建筑应搭建智能化高效节能暖通空调新风系统， 实时监测，定期维护，降低不必要的运行能耗</w:t>
            </w:r>
          </w:p>
        </w:tc>
      </w:tr>
      <w:tr w14:paraId="702D6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4543CE84">
            <w:pPr>
              <w:widowControl/>
              <w:jc w:val="center"/>
              <w:rPr>
                <w:rFonts w:cs="宋体" w:asciiTheme="minorEastAsia" w:hAnsiTheme="minorEastAsia"/>
                <w:kern w:val="0"/>
                <w:sz w:val="18"/>
                <w:szCs w:val="18"/>
              </w:rPr>
            </w:pPr>
          </w:p>
        </w:tc>
        <w:tc>
          <w:tcPr>
            <w:tcW w:w="7199" w:type="dxa"/>
          </w:tcPr>
          <w:p w14:paraId="555670AC">
            <w:pPr>
              <w:widowControl/>
              <w:rPr>
                <w:rFonts w:cs="宋体" w:asciiTheme="minorEastAsia" w:hAnsiTheme="minorEastAsia"/>
                <w:kern w:val="0"/>
                <w:sz w:val="18"/>
                <w:szCs w:val="18"/>
              </w:rPr>
            </w:pPr>
            <w:r>
              <w:rPr>
                <w:rFonts w:ascii="宋体" w:hAnsi="宋体" w:eastAsia="宋体" w:cs="Arial"/>
                <w:bCs/>
                <w:sz w:val="18"/>
                <w:szCs w:val="18"/>
              </w:rPr>
              <w:t>建筑应合理设置新风热回收系统，并宜设置新风旁通管，热回收装置性能不宜低于现行国家标准《近零能耗建筑技术标准》GB/T51350的相关规定</w:t>
            </w:r>
          </w:p>
        </w:tc>
      </w:tr>
      <w:tr w14:paraId="4A24C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26D05259">
            <w:pPr>
              <w:widowControl/>
              <w:jc w:val="center"/>
              <w:rPr>
                <w:rFonts w:cs="宋体" w:asciiTheme="minorEastAsia" w:hAnsiTheme="minorEastAsia"/>
                <w:kern w:val="0"/>
                <w:sz w:val="18"/>
                <w:szCs w:val="18"/>
              </w:rPr>
            </w:pPr>
          </w:p>
        </w:tc>
        <w:tc>
          <w:tcPr>
            <w:tcW w:w="7199" w:type="dxa"/>
          </w:tcPr>
          <w:p w14:paraId="20F3F5AD">
            <w:pPr>
              <w:widowControl/>
              <w:rPr>
                <w:rFonts w:cs="宋体" w:asciiTheme="minorEastAsia" w:hAnsiTheme="minorEastAsia"/>
                <w:kern w:val="0"/>
                <w:sz w:val="18"/>
                <w:szCs w:val="18"/>
              </w:rPr>
            </w:pPr>
            <w:r>
              <w:rPr>
                <w:rFonts w:ascii="宋体" w:hAnsi="宋体" w:eastAsia="宋体" w:cs="Arial"/>
                <w:bCs/>
                <w:sz w:val="18"/>
                <w:szCs w:val="18"/>
              </w:rPr>
              <w:t>地源热泵系统设计制热性能系数与制冷能效比均不应低于现行国家标准《可再生能源建筑应用工程评价标准》GB/T 50801规定的2级以上</w:t>
            </w:r>
          </w:p>
        </w:tc>
      </w:tr>
      <w:tr w14:paraId="6AE05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1905439F">
            <w:pPr>
              <w:widowControl/>
              <w:jc w:val="center"/>
              <w:rPr>
                <w:rFonts w:cs="宋体" w:asciiTheme="minorEastAsia" w:hAnsiTheme="minorEastAsia"/>
                <w:kern w:val="0"/>
                <w:sz w:val="18"/>
                <w:szCs w:val="18"/>
              </w:rPr>
            </w:pPr>
          </w:p>
        </w:tc>
        <w:tc>
          <w:tcPr>
            <w:tcW w:w="7199" w:type="dxa"/>
          </w:tcPr>
          <w:p w14:paraId="79FFF17E">
            <w:pPr>
              <w:widowControl/>
              <w:rPr>
                <w:rFonts w:ascii="宋体" w:hAnsi="宋体" w:eastAsia="宋体" w:cs="Arial"/>
                <w:bCs/>
                <w:sz w:val="18"/>
                <w:szCs w:val="18"/>
              </w:rPr>
            </w:pPr>
            <w:r>
              <w:rPr>
                <w:rFonts w:ascii="宋体" w:hAnsi="宋体" w:eastAsia="宋体" w:cs="Arial"/>
                <w:bCs/>
                <w:sz w:val="18"/>
                <w:szCs w:val="18"/>
              </w:rPr>
              <w:t>冷、热源机组能效系数不宜低于现行国家标准《近零能耗建筑技术标准》GB/T51350的推荐值</w:t>
            </w:r>
          </w:p>
        </w:tc>
      </w:tr>
      <w:tr w14:paraId="498E4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center"/>
          </w:tcPr>
          <w:p w14:paraId="1C9B41F0">
            <w:pPr>
              <w:widowControl/>
              <w:jc w:val="center"/>
              <w:rPr>
                <w:rFonts w:cs="宋体" w:asciiTheme="minorEastAsia" w:hAnsiTheme="minorEastAsia"/>
                <w:kern w:val="0"/>
                <w:sz w:val="18"/>
                <w:szCs w:val="18"/>
              </w:rPr>
            </w:pPr>
            <w:r>
              <w:rPr>
                <w:rFonts w:ascii="宋体" w:hAnsi="宋体" w:eastAsia="宋体" w:cs="Arial"/>
                <w:bCs/>
                <w:sz w:val="18"/>
                <w:szCs w:val="18"/>
              </w:rPr>
              <w:t>照明</w:t>
            </w:r>
          </w:p>
        </w:tc>
        <w:tc>
          <w:tcPr>
            <w:tcW w:w="7199" w:type="dxa"/>
          </w:tcPr>
          <w:p w14:paraId="0B3D4BB7">
            <w:pPr>
              <w:widowControl/>
              <w:rPr>
                <w:rFonts w:ascii="宋体" w:hAnsi="宋体" w:eastAsia="宋体" w:cs="Arial"/>
                <w:bCs/>
                <w:sz w:val="18"/>
                <w:szCs w:val="18"/>
              </w:rPr>
            </w:pPr>
            <w:r>
              <w:rPr>
                <w:rFonts w:ascii="宋体" w:hAnsi="宋体" w:eastAsia="宋体" w:cs="Arial"/>
                <w:bCs/>
                <w:sz w:val="18"/>
                <w:szCs w:val="18"/>
              </w:rPr>
              <w:t>建筑应配备智能化照明系统，根据光照、人数等外部因素调整照明状态</w:t>
            </w:r>
          </w:p>
        </w:tc>
      </w:tr>
      <w:tr w14:paraId="55A43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610F2CD3">
            <w:pPr>
              <w:widowControl/>
              <w:jc w:val="center"/>
              <w:rPr>
                <w:rFonts w:cs="宋体" w:asciiTheme="minorEastAsia" w:hAnsiTheme="minorEastAsia"/>
                <w:kern w:val="0"/>
                <w:sz w:val="18"/>
                <w:szCs w:val="18"/>
              </w:rPr>
            </w:pPr>
          </w:p>
        </w:tc>
        <w:tc>
          <w:tcPr>
            <w:tcW w:w="7199" w:type="dxa"/>
          </w:tcPr>
          <w:p w14:paraId="1E3796E3">
            <w:pPr>
              <w:widowControl/>
              <w:rPr>
                <w:rFonts w:ascii="宋体" w:hAnsi="宋体" w:eastAsia="宋体" w:cs="Arial"/>
                <w:bCs/>
                <w:sz w:val="18"/>
                <w:szCs w:val="18"/>
              </w:rPr>
            </w:pPr>
            <w:r>
              <w:rPr>
                <w:rFonts w:ascii="宋体" w:hAnsi="宋体" w:eastAsia="宋体" w:cs="Arial"/>
                <w:bCs/>
                <w:sz w:val="18"/>
                <w:szCs w:val="18"/>
              </w:rPr>
              <w:t>建筑应减少非必要的装饰性照明系统，或控制其使用时间</w:t>
            </w:r>
          </w:p>
        </w:tc>
      </w:tr>
      <w:tr w14:paraId="33EBE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center"/>
          </w:tcPr>
          <w:p w14:paraId="3D0987FD">
            <w:pPr>
              <w:widowControl/>
              <w:jc w:val="center"/>
              <w:rPr>
                <w:rFonts w:cs="宋体" w:asciiTheme="minorEastAsia" w:hAnsiTheme="minorEastAsia"/>
                <w:kern w:val="0"/>
                <w:sz w:val="18"/>
                <w:szCs w:val="18"/>
              </w:rPr>
            </w:pPr>
            <w:r>
              <w:rPr>
                <w:rFonts w:ascii="宋体" w:hAnsi="宋体" w:eastAsia="宋体" w:cs="Arial"/>
                <w:bCs/>
                <w:sz w:val="18"/>
                <w:szCs w:val="18"/>
              </w:rPr>
              <w:t>维护</w:t>
            </w:r>
          </w:p>
        </w:tc>
        <w:tc>
          <w:tcPr>
            <w:tcW w:w="7199" w:type="dxa"/>
          </w:tcPr>
          <w:p w14:paraId="31B2D040">
            <w:pPr>
              <w:widowControl/>
              <w:rPr>
                <w:rFonts w:ascii="宋体" w:hAnsi="宋体" w:eastAsia="宋体" w:cs="Arial"/>
                <w:bCs/>
                <w:sz w:val="18"/>
                <w:szCs w:val="18"/>
              </w:rPr>
            </w:pPr>
            <w:r>
              <w:rPr>
                <w:rFonts w:ascii="宋体" w:hAnsi="宋体" w:eastAsia="宋体" w:cs="Arial"/>
                <w:bCs/>
                <w:sz w:val="18"/>
                <w:szCs w:val="18"/>
              </w:rPr>
              <w:t>建筑维护翻新时应优先采用环保材料</w:t>
            </w:r>
          </w:p>
        </w:tc>
      </w:tr>
      <w:tr w14:paraId="5382A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7C00324A">
            <w:pPr>
              <w:widowControl/>
              <w:jc w:val="center"/>
              <w:rPr>
                <w:rFonts w:cs="宋体" w:asciiTheme="minorEastAsia" w:hAnsiTheme="minorEastAsia"/>
                <w:kern w:val="0"/>
                <w:sz w:val="18"/>
                <w:szCs w:val="18"/>
              </w:rPr>
            </w:pPr>
          </w:p>
        </w:tc>
        <w:tc>
          <w:tcPr>
            <w:tcW w:w="7199" w:type="dxa"/>
          </w:tcPr>
          <w:p w14:paraId="2E96352C">
            <w:pPr>
              <w:widowControl/>
              <w:rPr>
                <w:rFonts w:ascii="宋体" w:hAnsi="宋体" w:eastAsia="宋体" w:cs="Arial"/>
                <w:bCs/>
                <w:sz w:val="18"/>
                <w:szCs w:val="18"/>
              </w:rPr>
            </w:pPr>
            <w:r>
              <w:rPr>
                <w:rFonts w:ascii="宋体" w:hAnsi="宋体" w:eastAsia="宋体" w:cs="Arial"/>
                <w:bCs/>
                <w:sz w:val="18"/>
                <w:szCs w:val="18"/>
              </w:rPr>
              <w:t>建筑宜定期评估建筑围护热性能，优先采取易于开展的翻新举措，例如提升建筑气密性，使用门斗</w:t>
            </w:r>
          </w:p>
        </w:tc>
      </w:tr>
      <w:tr w14:paraId="466EB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5BCAB882">
            <w:pPr>
              <w:widowControl/>
              <w:jc w:val="center"/>
              <w:rPr>
                <w:rFonts w:cs="宋体" w:asciiTheme="minorEastAsia" w:hAnsiTheme="minorEastAsia"/>
                <w:kern w:val="0"/>
                <w:sz w:val="18"/>
                <w:szCs w:val="18"/>
              </w:rPr>
            </w:pPr>
          </w:p>
        </w:tc>
        <w:tc>
          <w:tcPr>
            <w:tcW w:w="7199" w:type="dxa"/>
          </w:tcPr>
          <w:p w14:paraId="0B152D12">
            <w:pPr>
              <w:widowControl/>
              <w:rPr>
                <w:rFonts w:ascii="宋体" w:hAnsi="宋体" w:eastAsia="宋体" w:cs="Arial"/>
                <w:bCs/>
                <w:sz w:val="18"/>
                <w:szCs w:val="18"/>
              </w:rPr>
            </w:pPr>
            <w:r>
              <w:rPr>
                <w:rFonts w:ascii="宋体" w:hAnsi="宋体" w:eastAsia="宋体" w:cs="Arial"/>
                <w:bCs/>
                <w:sz w:val="18"/>
                <w:szCs w:val="18"/>
              </w:rPr>
              <w:t>建筑宜对维护更新过程的外购商品与服务、废弃物处置等价值链排放核算并建立生命周期评估数据集</w:t>
            </w:r>
          </w:p>
        </w:tc>
      </w:tr>
      <w:tr w14:paraId="2486C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center"/>
          </w:tcPr>
          <w:p w14:paraId="7104564B">
            <w:pPr>
              <w:widowControl/>
              <w:jc w:val="center"/>
              <w:rPr>
                <w:rFonts w:cs="宋体" w:asciiTheme="minorEastAsia" w:hAnsiTheme="minorEastAsia"/>
                <w:kern w:val="0"/>
                <w:sz w:val="18"/>
                <w:szCs w:val="18"/>
              </w:rPr>
            </w:pPr>
            <w:r>
              <w:rPr>
                <w:rFonts w:ascii="宋体" w:hAnsi="宋体" w:eastAsia="宋体" w:cs="Arial"/>
                <w:bCs/>
                <w:sz w:val="18"/>
                <w:szCs w:val="18"/>
              </w:rPr>
              <w:t>电动车电力配套</w:t>
            </w:r>
          </w:p>
        </w:tc>
        <w:tc>
          <w:tcPr>
            <w:tcW w:w="7199" w:type="dxa"/>
          </w:tcPr>
          <w:p w14:paraId="4E6F7275">
            <w:pPr>
              <w:widowControl/>
              <w:rPr>
                <w:rFonts w:ascii="宋体" w:hAnsi="宋体" w:eastAsia="宋体" w:cs="Arial"/>
                <w:bCs/>
                <w:sz w:val="18"/>
                <w:szCs w:val="18"/>
              </w:rPr>
            </w:pPr>
            <w:r>
              <w:rPr>
                <w:rFonts w:ascii="宋体" w:hAnsi="宋体" w:eastAsia="宋体" w:cs="Arial"/>
                <w:bCs/>
                <w:sz w:val="18"/>
                <w:szCs w:val="18"/>
              </w:rPr>
              <w:t>建筑应提供新能源汽车的充电设施，并将其纳入绿电采购计划，供租户选择</w:t>
            </w:r>
          </w:p>
        </w:tc>
      </w:tr>
      <w:tr w14:paraId="220E9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vAlign w:val="center"/>
          </w:tcPr>
          <w:p w14:paraId="5421A845">
            <w:pPr>
              <w:widowControl/>
              <w:jc w:val="center"/>
              <w:rPr>
                <w:rFonts w:cs="宋体" w:asciiTheme="minorEastAsia" w:hAnsiTheme="minorEastAsia"/>
                <w:kern w:val="0"/>
                <w:sz w:val="18"/>
                <w:szCs w:val="18"/>
              </w:rPr>
            </w:pPr>
          </w:p>
        </w:tc>
        <w:tc>
          <w:tcPr>
            <w:tcW w:w="7199" w:type="dxa"/>
          </w:tcPr>
          <w:p w14:paraId="2A413157">
            <w:pPr>
              <w:widowControl/>
              <w:rPr>
                <w:rFonts w:ascii="宋体" w:hAnsi="宋体" w:eastAsia="宋体" w:cs="Arial"/>
                <w:bCs/>
                <w:sz w:val="18"/>
                <w:szCs w:val="18"/>
              </w:rPr>
            </w:pPr>
            <w:r>
              <w:rPr>
                <w:rFonts w:ascii="宋体" w:hAnsi="宋体" w:eastAsia="宋体" w:cs="Arial"/>
                <w:bCs/>
                <w:sz w:val="18"/>
                <w:szCs w:val="18"/>
              </w:rPr>
              <w:t>电动车充电设施宜具备V2G技术</w:t>
            </w:r>
            <w:r>
              <w:rPr>
                <w:rFonts w:ascii="宋体" w:hAnsi="宋体" w:eastAsia="宋体" w:cs="Arial"/>
                <w:bCs/>
                <w:sz w:val="18"/>
                <w:szCs w:val="18"/>
                <w:vertAlign w:val="superscript"/>
              </w:rPr>
              <w:t>*</w:t>
            </w:r>
            <w:r>
              <w:rPr>
                <w:rFonts w:ascii="宋体" w:hAnsi="宋体" w:eastAsia="宋体" w:cs="Arial"/>
                <w:bCs/>
                <w:sz w:val="18"/>
                <w:szCs w:val="18"/>
              </w:rPr>
              <w:t>，实现电动车与电网双向能量流动</w:t>
            </w:r>
          </w:p>
        </w:tc>
      </w:tr>
      <w:tr w14:paraId="57461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center"/>
          </w:tcPr>
          <w:p w14:paraId="4ACB6E86">
            <w:pPr>
              <w:spacing w:line="288" w:lineRule="auto"/>
              <w:jc w:val="center"/>
              <w:rPr>
                <w:rFonts w:ascii="宋体" w:hAnsi="宋体" w:eastAsia="宋体"/>
                <w:bCs/>
                <w:sz w:val="18"/>
                <w:szCs w:val="18"/>
              </w:rPr>
            </w:pPr>
            <w:r>
              <w:rPr>
                <w:rFonts w:ascii="宋体" w:hAnsi="宋体" w:eastAsia="宋体" w:cs="Arial"/>
                <w:bCs/>
                <w:sz w:val="18"/>
                <w:szCs w:val="18"/>
              </w:rPr>
              <w:t>价值链影响</w:t>
            </w:r>
          </w:p>
        </w:tc>
        <w:tc>
          <w:tcPr>
            <w:tcW w:w="7199" w:type="dxa"/>
          </w:tcPr>
          <w:p w14:paraId="795BF154">
            <w:pPr>
              <w:widowControl/>
              <w:rPr>
                <w:rFonts w:ascii="宋体" w:hAnsi="宋体" w:eastAsia="宋体" w:cs="Arial"/>
                <w:bCs/>
                <w:sz w:val="18"/>
                <w:szCs w:val="18"/>
              </w:rPr>
            </w:pPr>
            <w:r>
              <w:rPr>
                <w:rFonts w:ascii="宋体" w:hAnsi="宋体" w:eastAsia="宋体" w:cs="Arial"/>
                <w:bCs/>
                <w:sz w:val="18"/>
                <w:szCs w:val="18"/>
              </w:rPr>
              <w:t>电气系统宜能够组织租户参与需求侧响应，并建立配套虚拟电厂和需求侧响应的租户激励机制</w:t>
            </w:r>
          </w:p>
        </w:tc>
      </w:tr>
      <w:tr w14:paraId="47C61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14:paraId="000F862C">
            <w:pPr>
              <w:widowControl/>
              <w:rPr>
                <w:rFonts w:cs="宋体" w:asciiTheme="minorEastAsia" w:hAnsiTheme="minorEastAsia"/>
                <w:kern w:val="0"/>
                <w:sz w:val="18"/>
                <w:szCs w:val="18"/>
              </w:rPr>
            </w:pPr>
          </w:p>
        </w:tc>
        <w:tc>
          <w:tcPr>
            <w:tcW w:w="7199" w:type="dxa"/>
          </w:tcPr>
          <w:p w14:paraId="6E9AE813">
            <w:pPr>
              <w:widowControl/>
              <w:rPr>
                <w:rFonts w:ascii="宋体" w:hAnsi="宋体" w:eastAsia="宋体" w:cs="Arial"/>
                <w:bCs/>
                <w:sz w:val="18"/>
                <w:szCs w:val="18"/>
              </w:rPr>
            </w:pPr>
            <w:r>
              <w:rPr>
                <w:rFonts w:ascii="宋体" w:hAnsi="宋体" w:eastAsia="宋体" w:cs="Arial"/>
                <w:bCs/>
                <w:sz w:val="18"/>
                <w:szCs w:val="18"/>
              </w:rPr>
              <w:t>宜设置默认系统温度对租户引导空间供暖与制冷节能</w:t>
            </w:r>
          </w:p>
        </w:tc>
      </w:tr>
      <w:tr w14:paraId="3C61F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14:paraId="0F70F469">
            <w:pPr>
              <w:widowControl/>
              <w:rPr>
                <w:rFonts w:cs="宋体" w:asciiTheme="minorEastAsia" w:hAnsiTheme="minorEastAsia"/>
                <w:kern w:val="0"/>
                <w:sz w:val="18"/>
                <w:szCs w:val="18"/>
              </w:rPr>
            </w:pPr>
          </w:p>
        </w:tc>
        <w:tc>
          <w:tcPr>
            <w:tcW w:w="7199" w:type="dxa"/>
          </w:tcPr>
          <w:p w14:paraId="7B5D10FF">
            <w:pPr>
              <w:widowControl/>
              <w:rPr>
                <w:rFonts w:ascii="宋体" w:hAnsi="宋体" w:eastAsia="宋体" w:cs="Arial"/>
                <w:bCs/>
                <w:sz w:val="18"/>
                <w:szCs w:val="18"/>
              </w:rPr>
            </w:pPr>
            <w:r>
              <w:rPr>
                <w:rFonts w:ascii="宋体" w:hAnsi="宋体" w:eastAsia="宋体" w:cs="Arial"/>
                <w:bCs/>
                <w:sz w:val="18"/>
                <w:szCs w:val="18"/>
              </w:rPr>
              <w:t>宜开展面向建筑运营和租户员工的减碳培训，设立个人减碳激励机制</w:t>
            </w:r>
          </w:p>
        </w:tc>
      </w:tr>
      <w:tr w14:paraId="3CA43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24A6F7F">
            <w:pPr>
              <w:widowControl/>
              <w:rPr>
                <w:rFonts w:ascii="宋体" w:hAnsi="宋体" w:eastAsia="宋体" w:cs="Arial"/>
                <w:b/>
                <w:sz w:val="18"/>
                <w:szCs w:val="18"/>
              </w:rPr>
            </w:pPr>
            <w:r>
              <w:rPr>
                <w:rFonts w:ascii="宋体" w:hAnsi="宋体" w:eastAsia="宋体" w:cs="Arial"/>
                <w:bCs/>
                <w:sz w:val="18"/>
                <w:szCs w:val="18"/>
                <w:vertAlign w:val="superscript"/>
              </w:rPr>
              <w:t>*</w:t>
            </w:r>
            <w:r>
              <w:rPr>
                <w:rFonts w:hint="eastAsia" w:ascii="宋体" w:hAnsi="宋体" w:eastAsia="宋体" w:cs="Arial"/>
                <w:bCs/>
                <w:sz w:val="18"/>
                <w:szCs w:val="18"/>
                <w:vertAlign w:val="superscript"/>
              </w:rPr>
              <w:t xml:space="preserve"> </w:t>
            </w:r>
            <w:r>
              <w:rPr>
                <w:rFonts w:ascii="宋体" w:hAnsi="宋体" w:eastAsia="宋体" w:cs="Arial"/>
                <w:bCs/>
                <w:sz w:val="18"/>
                <w:szCs w:val="18"/>
              </w:rPr>
              <w:t>V2G技术是一种双向互动智能充电技术，不仅为电动汽车电池充电，同时在需要时向电网回馈能量。</w:t>
            </w:r>
          </w:p>
        </w:tc>
      </w:tr>
    </w:tbl>
    <w:p w14:paraId="4DFE78A0">
      <w:pPr>
        <w:pStyle w:val="3"/>
        <w:numPr>
          <w:ilvl w:val="1"/>
          <w:numId w:val="13"/>
        </w:numPr>
        <w:spacing w:before="240" w:beforeLines="100" w:after="120"/>
        <w:rPr>
          <w:rFonts w:ascii="黑体" w:hAnsi="黑体" w:eastAsia="黑体"/>
          <w:b w:val="0"/>
          <w:sz w:val="21"/>
          <w:szCs w:val="21"/>
          <w14:ligatures w14:val="none"/>
        </w:rPr>
      </w:pPr>
      <w:bookmarkStart w:id="51" w:name="heading_34"/>
      <w:bookmarkStart w:id="52" w:name="_Toc167487093"/>
      <w:r>
        <w:rPr>
          <w:rFonts w:ascii="黑体" w:hAnsi="黑体" w:eastAsia="黑体"/>
          <w:b w:val="0"/>
          <w:sz w:val="21"/>
          <w:szCs w:val="21"/>
          <w14:ligatures w14:val="none"/>
        </w:rPr>
        <w:t>净零达成</w:t>
      </w:r>
      <w:bookmarkEnd w:id="51"/>
      <w:bookmarkEnd w:id="52"/>
    </w:p>
    <w:p w14:paraId="36666273">
      <w:pPr>
        <w:spacing w:line="288" w:lineRule="auto"/>
        <w:jc w:val="left"/>
        <w:rPr>
          <w:rFonts w:ascii="宋体" w:hAnsi="宋体" w:eastAsia="宋体"/>
          <w:szCs w:val="21"/>
        </w:rPr>
      </w:pPr>
      <w:r>
        <w:rPr>
          <w:rFonts w:hint="eastAsia" w:ascii="黑体" w:hAnsi="黑体" w:eastAsia="黑体" w:cs="Arial"/>
          <w:szCs w:val="21"/>
        </w:rPr>
        <w:t>5.7.1</w:t>
      </w:r>
      <w:r>
        <w:rPr>
          <w:rFonts w:hint="eastAsia" w:ascii="宋体" w:hAnsi="宋体" w:eastAsia="宋体" w:cs="Arial"/>
          <w:szCs w:val="21"/>
        </w:rPr>
        <w:t xml:space="preserve"> </w:t>
      </w:r>
      <w:r>
        <w:rPr>
          <w:rFonts w:ascii="宋体" w:hAnsi="宋体" w:eastAsia="宋体" w:cs="Arial"/>
          <w:szCs w:val="21"/>
        </w:rPr>
        <w:t>净零达成评价</w:t>
      </w:r>
      <w:r>
        <w:rPr>
          <w:rFonts w:hint="eastAsia" w:ascii="宋体" w:hAnsi="宋体" w:eastAsia="宋体" w:cs="Arial"/>
          <w:szCs w:val="21"/>
        </w:rPr>
        <w:t>应在参评建筑</w:t>
      </w:r>
      <w:r>
        <w:rPr>
          <w:rFonts w:ascii="宋体" w:hAnsi="宋体" w:eastAsia="宋体" w:cs="Arial"/>
          <w:szCs w:val="21"/>
        </w:rPr>
        <w:t>已</w:t>
      </w:r>
      <w:r>
        <w:rPr>
          <w:rFonts w:hint="eastAsia" w:ascii="宋体" w:hAnsi="宋体" w:eastAsia="宋体" w:cs="Arial"/>
          <w:szCs w:val="21"/>
        </w:rPr>
        <w:t>具备</w:t>
      </w:r>
      <w:r>
        <w:rPr>
          <w:rFonts w:ascii="宋体" w:hAnsi="宋体" w:eastAsia="宋体" w:cs="Arial"/>
          <w:szCs w:val="21"/>
        </w:rPr>
        <w:t>“净零就绪建筑”称号</w:t>
      </w:r>
      <w:r>
        <w:rPr>
          <w:rFonts w:hint="eastAsia" w:ascii="宋体" w:hAnsi="宋体" w:eastAsia="宋体" w:cs="Arial"/>
          <w:szCs w:val="21"/>
        </w:rPr>
        <w:t>并</w:t>
      </w:r>
      <w:r>
        <w:rPr>
          <w:rFonts w:ascii="宋体" w:hAnsi="宋体" w:eastAsia="宋体" w:cs="Arial"/>
          <w:szCs w:val="21"/>
        </w:rPr>
        <w:t>已具备在有效期内的“净零进程建筑”称号</w:t>
      </w:r>
      <w:r>
        <w:rPr>
          <w:rFonts w:hint="eastAsia" w:ascii="宋体" w:hAnsi="宋体" w:eastAsia="宋体" w:cs="Arial"/>
          <w:szCs w:val="21"/>
        </w:rPr>
        <w:t>之后申请</w:t>
      </w:r>
      <w:r>
        <w:rPr>
          <w:rFonts w:ascii="宋体" w:hAnsi="宋体" w:eastAsia="宋体" w:cs="Arial"/>
          <w:szCs w:val="21"/>
        </w:rPr>
        <w:t>。</w:t>
      </w:r>
    </w:p>
    <w:p w14:paraId="02A4FA2A">
      <w:pPr>
        <w:spacing w:line="288" w:lineRule="auto"/>
        <w:jc w:val="left"/>
        <w:rPr>
          <w:rFonts w:ascii="宋体" w:hAnsi="宋体" w:eastAsia="宋体" w:cs="Arial"/>
          <w:szCs w:val="21"/>
        </w:rPr>
      </w:pPr>
      <w:r>
        <w:rPr>
          <w:rFonts w:hint="eastAsia" w:ascii="黑体" w:hAnsi="黑体" w:eastAsia="黑体" w:cs="Arial"/>
          <w:szCs w:val="21"/>
        </w:rPr>
        <w:t>5.7.2</w:t>
      </w:r>
      <w:r>
        <w:rPr>
          <w:rFonts w:ascii="宋体" w:hAnsi="宋体" w:eastAsia="宋体" w:cs="Arial"/>
          <w:szCs w:val="21"/>
        </w:rPr>
        <w:t>整个建筑满足对于</w:t>
      </w:r>
      <w:r>
        <w:rPr>
          <w:rFonts w:hint="eastAsia" w:ascii="宋体" w:hAnsi="宋体" w:eastAsia="宋体" w:cs="Arial"/>
          <w:szCs w:val="21"/>
        </w:rPr>
        <w:t>残留</w:t>
      </w:r>
      <w:r>
        <w:rPr>
          <w:rFonts w:ascii="宋体" w:hAnsi="宋体" w:eastAsia="宋体" w:cs="Arial"/>
          <w:szCs w:val="21"/>
        </w:rPr>
        <w:t>排放的判定要求（见4.3.3.3)、满足碳</w:t>
      </w:r>
      <w:r>
        <w:rPr>
          <w:rFonts w:hint="eastAsia" w:ascii="宋体" w:hAnsi="宋体" w:eastAsia="宋体" w:cs="Arial"/>
          <w:szCs w:val="21"/>
        </w:rPr>
        <w:t>清除</w:t>
      </w:r>
      <w:r>
        <w:rPr>
          <w:rFonts w:ascii="宋体" w:hAnsi="宋体" w:eastAsia="宋体" w:cs="Arial"/>
          <w:szCs w:val="21"/>
        </w:rPr>
        <w:t>的碳抵消的要求（见4.3.3.3和4.3.3.4）。</w:t>
      </w:r>
    </w:p>
    <w:p w14:paraId="7312AEF2">
      <w:pPr>
        <w:spacing w:line="288" w:lineRule="auto"/>
        <w:jc w:val="left"/>
        <w:rPr>
          <w:rFonts w:ascii="宋体" w:hAnsi="宋体" w:eastAsia="宋体"/>
          <w:szCs w:val="21"/>
        </w:rPr>
      </w:pPr>
      <w:r>
        <w:rPr>
          <w:rFonts w:hint="eastAsia" w:ascii="黑体" w:hAnsi="黑体" w:eastAsia="黑体" w:cs="Arial"/>
          <w:szCs w:val="21"/>
        </w:rPr>
        <w:t>5.7.3</w:t>
      </w:r>
      <w:r>
        <w:rPr>
          <w:rFonts w:ascii="宋体" w:hAnsi="宋体" w:eastAsia="宋体" w:cs="Arial"/>
          <w:szCs w:val="21"/>
        </w:rPr>
        <w:t>满足评价要求的建筑被授予“净零建筑-铂金”称号</w:t>
      </w:r>
      <w:r>
        <w:rPr>
          <w:rFonts w:hint="eastAsia" w:ascii="宋体" w:hAnsi="宋体" w:eastAsia="宋体"/>
          <w:szCs w:val="21"/>
        </w:rPr>
        <w:t>。</w:t>
      </w:r>
      <w:r>
        <w:rPr>
          <w:rFonts w:ascii="宋体" w:hAnsi="宋体" w:eastAsia="宋体" w:cs="Arial"/>
          <w:szCs w:val="21"/>
        </w:rPr>
        <w:t>“净零建筑-铂金”称号的有效期为3年，建筑业主应制定长期保持建筑净零状态的计划并</w:t>
      </w:r>
      <w:r>
        <w:rPr>
          <w:rFonts w:hint="eastAsia" w:ascii="宋体" w:hAnsi="宋体" w:eastAsia="宋体" w:cs="Arial"/>
          <w:szCs w:val="21"/>
        </w:rPr>
        <w:t>宜</w:t>
      </w:r>
      <w:r>
        <w:rPr>
          <w:rFonts w:ascii="宋体" w:hAnsi="宋体" w:eastAsia="宋体" w:cs="Arial"/>
          <w:szCs w:val="21"/>
        </w:rPr>
        <w:t>维持净零建筑称号。</w:t>
      </w:r>
    </w:p>
    <w:p w14:paraId="6B561270">
      <w:pPr>
        <w:spacing w:line="288" w:lineRule="auto"/>
        <w:jc w:val="left"/>
        <w:rPr>
          <w:rFonts w:ascii="宋体" w:hAnsi="宋体" w:eastAsia="宋体"/>
          <w:szCs w:val="21"/>
        </w:rPr>
      </w:pPr>
      <w:r>
        <w:rPr>
          <w:rFonts w:hint="eastAsia" w:ascii="黑体" w:hAnsi="黑体" w:eastAsia="黑体" w:cs="Arial"/>
          <w:szCs w:val="21"/>
        </w:rPr>
        <w:t>5.7.4</w:t>
      </w:r>
      <w:r>
        <w:rPr>
          <w:rFonts w:ascii="宋体" w:hAnsi="宋体" w:eastAsia="宋体" w:cs="Arial"/>
          <w:szCs w:val="21"/>
        </w:rPr>
        <w:t>净零达成评价方法如图</w:t>
      </w:r>
      <w:r>
        <w:rPr>
          <w:rFonts w:hint="eastAsia" w:ascii="宋体" w:hAnsi="宋体" w:eastAsia="宋体" w:cs="Arial"/>
          <w:szCs w:val="21"/>
        </w:rPr>
        <w:t>6</w:t>
      </w:r>
      <w:r>
        <w:rPr>
          <w:rFonts w:ascii="宋体" w:hAnsi="宋体" w:eastAsia="宋体" w:cs="Arial"/>
          <w:szCs w:val="21"/>
        </w:rPr>
        <w:t>所示。</w:t>
      </w:r>
    </w:p>
    <w:p w14:paraId="600E43E7">
      <w:pPr>
        <w:spacing w:before="120" w:after="120" w:line="288" w:lineRule="auto"/>
        <w:jc w:val="center"/>
        <w:rPr>
          <w:rFonts w:ascii="宋体" w:hAnsi="宋体" w:eastAsia="宋体"/>
          <w:szCs w:val="21"/>
        </w:rPr>
      </w:pPr>
      <w:r>
        <w:rPr>
          <w:rFonts w:hint="eastAsia" w:ascii="宋体" w:hAnsi="宋体" w:eastAsia="宋体"/>
          <w:szCs w:val="21"/>
        </w:rPr>
        <w:t xml:space="preserve"> </w:t>
      </w:r>
      <w:r>
        <w:rPr>
          <w:rFonts w:ascii="宋体" w:hAnsi="宋体" w:eastAsia="宋体"/>
          <w:szCs w:val="21"/>
        </w:rPr>
        <w:drawing>
          <wp:inline distT="0" distB="0" distL="0" distR="0">
            <wp:extent cx="3886200" cy="3112135"/>
            <wp:effectExtent l="0" t="0" r="0" b="0"/>
            <wp:docPr id="13723795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79539"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1050" cy="3116411"/>
                    </a:xfrm>
                    <a:prstGeom prst="rect">
                      <a:avLst/>
                    </a:prstGeom>
                  </pic:spPr>
                </pic:pic>
              </a:graphicData>
            </a:graphic>
          </wp:inline>
        </w:drawing>
      </w:r>
    </w:p>
    <w:p w14:paraId="1E4FE071">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6</w:t>
      </w:r>
      <w:r>
        <w:rPr>
          <w:rFonts w:ascii="黑体" w:hAnsi="黑体" w:eastAsia="黑体" w:cs="Calibri"/>
          <w:szCs w:val="21"/>
        </w:rPr>
        <w:t xml:space="preserve"> 净零达成评价方法</w:t>
      </w:r>
    </w:p>
    <w:p w14:paraId="79621BA0">
      <w:pPr>
        <w:pStyle w:val="3"/>
        <w:numPr>
          <w:ilvl w:val="1"/>
          <w:numId w:val="13"/>
        </w:numPr>
        <w:spacing w:before="240" w:beforeLines="100" w:after="120"/>
        <w:rPr>
          <w:rFonts w:ascii="黑体" w:hAnsi="黑体" w:eastAsia="黑体"/>
          <w:b w:val="0"/>
          <w:sz w:val="21"/>
          <w:szCs w:val="21"/>
          <w14:ligatures w14:val="none"/>
        </w:rPr>
      </w:pPr>
      <w:bookmarkStart w:id="53" w:name="_Toc167487094"/>
      <w:bookmarkStart w:id="54" w:name="heading_35"/>
      <w:r>
        <w:rPr>
          <w:rFonts w:ascii="黑体" w:hAnsi="黑体" w:eastAsia="黑体"/>
          <w:b w:val="0"/>
          <w:sz w:val="21"/>
          <w:szCs w:val="21"/>
          <w14:ligatures w14:val="none"/>
        </w:rPr>
        <w:t>碳中和建筑</w:t>
      </w:r>
      <w:bookmarkEnd w:id="53"/>
      <w:bookmarkEnd w:id="54"/>
    </w:p>
    <w:p w14:paraId="73B728FE">
      <w:pPr>
        <w:spacing w:line="288" w:lineRule="auto"/>
        <w:jc w:val="left"/>
        <w:rPr>
          <w:rFonts w:ascii="宋体" w:hAnsi="宋体" w:eastAsia="宋体"/>
          <w:szCs w:val="21"/>
        </w:rPr>
      </w:pPr>
      <w:r>
        <w:rPr>
          <w:rFonts w:hint="eastAsia" w:ascii="黑体" w:hAnsi="黑体" w:eastAsia="黑体" w:cs="Arial"/>
          <w:szCs w:val="21"/>
        </w:rPr>
        <w:t xml:space="preserve">5.8.1 </w:t>
      </w:r>
      <w:r>
        <w:rPr>
          <w:rFonts w:ascii="宋体" w:hAnsi="宋体" w:eastAsia="宋体" w:cs="Arial"/>
          <w:szCs w:val="21"/>
        </w:rPr>
        <w:t>碳中和建筑评价</w:t>
      </w:r>
      <w:r>
        <w:rPr>
          <w:rFonts w:hint="eastAsia" w:ascii="宋体" w:hAnsi="宋体" w:eastAsia="宋体" w:cs="Arial"/>
          <w:szCs w:val="21"/>
        </w:rPr>
        <w:t>应在</w:t>
      </w:r>
      <w:r>
        <w:rPr>
          <w:rFonts w:ascii="宋体" w:hAnsi="宋体" w:eastAsia="宋体" w:cs="Arial"/>
          <w:szCs w:val="21"/>
        </w:rPr>
        <w:t>参评建筑已具备在有效期内的“净零进程建筑”称号</w:t>
      </w:r>
      <w:r>
        <w:rPr>
          <w:rFonts w:hint="eastAsia" w:ascii="宋体" w:hAnsi="宋体" w:eastAsia="宋体" w:cs="Arial"/>
          <w:szCs w:val="21"/>
        </w:rPr>
        <w:t>之后申请</w:t>
      </w:r>
      <w:r>
        <w:rPr>
          <w:rFonts w:ascii="宋体" w:hAnsi="宋体" w:eastAsia="宋体" w:cs="Arial"/>
          <w:szCs w:val="21"/>
        </w:rPr>
        <w:t>。</w:t>
      </w:r>
    </w:p>
    <w:p w14:paraId="6096669C">
      <w:pPr>
        <w:spacing w:line="288" w:lineRule="auto"/>
        <w:jc w:val="left"/>
        <w:rPr>
          <w:rFonts w:ascii="宋体" w:hAnsi="宋体" w:eastAsia="宋体"/>
          <w:szCs w:val="21"/>
        </w:rPr>
      </w:pPr>
      <w:r>
        <w:rPr>
          <w:rFonts w:hint="eastAsia" w:ascii="黑体" w:hAnsi="黑体" w:eastAsia="黑体" w:cs="Arial"/>
          <w:szCs w:val="21"/>
        </w:rPr>
        <w:t xml:space="preserve">5.8.2 </w:t>
      </w:r>
      <w:r>
        <w:rPr>
          <w:rFonts w:ascii="宋体" w:hAnsi="宋体" w:eastAsia="宋体" w:cs="Arial"/>
          <w:szCs w:val="21"/>
        </w:rPr>
        <w:t>整个建筑</w:t>
      </w:r>
      <w:r>
        <w:rPr>
          <w:rFonts w:hint="eastAsia" w:ascii="宋体" w:hAnsi="宋体" w:eastAsia="宋体" w:cs="Arial"/>
          <w:szCs w:val="21"/>
        </w:rPr>
        <w:t>的所有区域</w:t>
      </w:r>
      <w:r>
        <w:rPr>
          <w:rFonts w:ascii="宋体" w:hAnsi="宋体" w:eastAsia="宋体" w:cs="Arial"/>
          <w:szCs w:val="21"/>
        </w:rPr>
        <w:t>被纳入碳中和评价范围。</w:t>
      </w:r>
    </w:p>
    <w:p w14:paraId="0B278785">
      <w:pPr>
        <w:spacing w:line="288" w:lineRule="auto"/>
        <w:jc w:val="left"/>
        <w:rPr>
          <w:rFonts w:ascii="宋体" w:hAnsi="宋体" w:eastAsia="宋体"/>
          <w:szCs w:val="21"/>
        </w:rPr>
      </w:pPr>
      <w:r>
        <w:rPr>
          <w:rFonts w:hint="eastAsia" w:ascii="黑体" w:hAnsi="黑体" w:eastAsia="黑体" w:cs="Arial"/>
          <w:szCs w:val="21"/>
        </w:rPr>
        <w:t xml:space="preserve">5.8.3 </w:t>
      </w:r>
      <w:r>
        <w:rPr>
          <w:rFonts w:ascii="宋体" w:hAnsi="宋体" w:eastAsia="宋体" w:cs="Arial"/>
          <w:szCs w:val="21"/>
        </w:rPr>
        <w:t>基于碳</w:t>
      </w:r>
      <w:r>
        <w:rPr>
          <w:rFonts w:hint="eastAsia" w:ascii="宋体" w:hAnsi="宋体" w:eastAsia="宋体" w:cs="Arial"/>
          <w:szCs w:val="21"/>
        </w:rPr>
        <w:t>清除</w:t>
      </w:r>
      <w:r>
        <w:rPr>
          <w:rFonts w:ascii="宋体" w:hAnsi="宋体" w:eastAsia="宋体" w:cs="Arial"/>
          <w:szCs w:val="21"/>
        </w:rPr>
        <w:t>和</w:t>
      </w:r>
      <w:r>
        <w:rPr>
          <w:rFonts w:hint="eastAsia" w:ascii="宋体" w:hAnsi="宋体" w:eastAsia="宋体" w:cs="Arial"/>
          <w:szCs w:val="21"/>
        </w:rPr>
        <w:t>/</w:t>
      </w:r>
      <w:r>
        <w:rPr>
          <w:rFonts w:ascii="宋体" w:hAnsi="宋体" w:eastAsia="宋体" w:cs="Arial"/>
          <w:szCs w:val="21"/>
        </w:rPr>
        <w:t>或碳抵消实现</w:t>
      </w:r>
      <w:r>
        <w:rPr>
          <w:rFonts w:hint="eastAsia" w:ascii="宋体" w:hAnsi="宋体" w:eastAsia="宋体" w:cs="Arial"/>
          <w:szCs w:val="21"/>
        </w:rPr>
        <w:t>对</w:t>
      </w:r>
      <w:r>
        <w:rPr>
          <w:rFonts w:ascii="宋体" w:hAnsi="宋体" w:eastAsia="宋体" w:cs="Arial"/>
          <w:szCs w:val="21"/>
        </w:rPr>
        <w:t>建筑</w:t>
      </w:r>
      <w:r>
        <w:rPr>
          <w:rFonts w:hint="eastAsia" w:ascii="宋体" w:hAnsi="宋体" w:eastAsia="宋体" w:cs="Arial"/>
          <w:szCs w:val="21"/>
        </w:rPr>
        <w:t>的剩余排放进行平衡</w:t>
      </w:r>
      <w:r>
        <w:rPr>
          <w:rFonts w:ascii="宋体" w:hAnsi="宋体" w:eastAsia="宋体" w:cs="Arial"/>
          <w:szCs w:val="21"/>
        </w:rPr>
        <w:t>，可获得“碳中和建筑”的称号</w:t>
      </w:r>
      <w:r>
        <w:rPr>
          <w:rFonts w:hint="eastAsia" w:ascii="宋体" w:hAnsi="宋体" w:eastAsia="宋体" w:cs="Arial"/>
          <w:szCs w:val="21"/>
        </w:rPr>
        <w:t>。</w:t>
      </w:r>
    </w:p>
    <w:p w14:paraId="76D34DD8">
      <w:pPr>
        <w:spacing w:line="288" w:lineRule="auto"/>
        <w:jc w:val="left"/>
        <w:rPr>
          <w:rFonts w:ascii="宋体" w:hAnsi="宋体" w:eastAsia="宋体"/>
          <w:szCs w:val="21"/>
        </w:rPr>
      </w:pPr>
      <w:r>
        <w:rPr>
          <w:rFonts w:hint="eastAsia" w:ascii="黑体" w:hAnsi="黑体" w:eastAsia="黑体" w:cs="Arial"/>
          <w:szCs w:val="21"/>
        </w:rPr>
        <w:t xml:space="preserve">5.8.4 </w:t>
      </w:r>
      <w:r>
        <w:rPr>
          <w:rFonts w:hint="eastAsia" w:ascii="宋体" w:hAnsi="宋体" w:eastAsia="宋体" w:cs="Arial"/>
          <w:szCs w:val="21"/>
        </w:rPr>
        <w:t>碳中和建筑</w:t>
      </w:r>
      <w:r>
        <w:rPr>
          <w:rFonts w:ascii="宋体" w:hAnsi="宋体" w:eastAsia="宋体" w:cs="Arial"/>
          <w:szCs w:val="21"/>
        </w:rPr>
        <w:t>评价方法如图</w:t>
      </w:r>
      <w:r>
        <w:rPr>
          <w:rFonts w:hint="eastAsia" w:ascii="宋体" w:hAnsi="宋体" w:eastAsia="宋体" w:cs="Arial"/>
          <w:szCs w:val="21"/>
        </w:rPr>
        <w:t>7</w:t>
      </w:r>
      <w:r>
        <w:rPr>
          <w:rFonts w:ascii="宋体" w:hAnsi="宋体" w:eastAsia="宋体" w:cs="Arial"/>
          <w:szCs w:val="21"/>
        </w:rPr>
        <w:t>所示。</w:t>
      </w:r>
    </w:p>
    <w:p w14:paraId="48B05676">
      <w:pPr>
        <w:spacing w:before="120" w:after="120" w:line="288" w:lineRule="auto"/>
        <w:jc w:val="center"/>
        <w:rPr>
          <w:rFonts w:ascii="宋体" w:hAnsi="宋体" w:eastAsia="宋体"/>
          <w:szCs w:val="21"/>
        </w:rPr>
      </w:pPr>
      <w:r>
        <w:rPr>
          <w:rFonts w:ascii="宋体" w:hAnsi="宋体" w:eastAsia="宋体"/>
          <w:szCs w:val="21"/>
        </w:rPr>
        <w:drawing>
          <wp:inline distT="0" distB="0" distL="0" distR="0">
            <wp:extent cx="1770380" cy="2555240"/>
            <wp:effectExtent l="0" t="0" r="0" b="0"/>
            <wp:docPr id="1059228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28808" name="图片 1"/>
                    <pic:cNvPicPr>
                      <a:picLocks noChangeAspect="1"/>
                    </pic:cNvPicPr>
                  </pic:nvPicPr>
                  <pic:blipFill>
                    <a:blip r:embed="rId12"/>
                    <a:stretch>
                      <a:fillRect/>
                    </a:stretch>
                  </pic:blipFill>
                  <pic:spPr>
                    <a:xfrm>
                      <a:off x="0" y="0"/>
                      <a:ext cx="1779968" cy="2569191"/>
                    </a:xfrm>
                    <a:prstGeom prst="rect">
                      <a:avLst/>
                    </a:prstGeom>
                  </pic:spPr>
                </pic:pic>
              </a:graphicData>
            </a:graphic>
          </wp:inline>
        </w:drawing>
      </w:r>
    </w:p>
    <w:p w14:paraId="73E643C8">
      <w:pPr>
        <w:spacing w:before="120" w:after="120" w:line="288" w:lineRule="auto"/>
        <w:jc w:val="center"/>
        <w:rPr>
          <w:rFonts w:ascii="黑体" w:hAnsi="黑体" w:eastAsia="黑体" w:cs="Calibri"/>
          <w:szCs w:val="21"/>
        </w:rPr>
      </w:pPr>
      <w:r>
        <w:rPr>
          <w:rFonts w:ascii="黑体" w:hAnsi="黑体" w:eastAsia="黑体" w:cs="Calibri"/>
          <w:szCs w:val="21"/>
        </w:rPr>
        <w:t>图</w:t>
      </w:r>
      <w:r>
        <w:rPr>
          <w:rFonts w:hint="eastAsia" w:ascii="黑体" w:hAnsi="黑体" w:eastAsia="黑体" w:cs="Calibri"/>
          <w:szCs w:val="21"/>
        </w:rPr>
        <w:t>7</w:t>
      </w:r>
      <w:r>
        <w:rPr>
          <w:rFonts w:ascii="黑体" w:hAnsi="黑体" w:eastAsia="黑体" w:cs="Calibri"/>
          <w:szCs w:val="21"/>
        </w:rPr>
        <w:t>碳中和建筑评价方法</w:t>
      </w:r>
    </w:p>
    <w:p w14:paraId="63C34CC9">
      <w:pPr>
        <w:pStyle w:val="2"/>
        <w:numPr>
          <w:ilvl w:val="0"/>
          <w:numId w:val="1"/>
        </w:numPr>
        <w:spacing w:before="240" w:after="240" w:afterLines="100" w:line="240" w:lineRule="auto"/>
        <w:rPr>
          <w:rFonts w:ascii="黑体" w:hAnsi="黑体" w:eastAsia="黑体"/>
          <w:b w:val="0"/>
          <w:sz w:val="21"/>
          <w:szCs w:val="21"/>
          <w14:ligatures w14:val="none"/>
        </w:rPr>
      </w:pPr>
      <w:bookmarkStart w:id="55" w:name="_Toc167487095"/>
      <w:bookmarkStart w:id="56" w:name="heading_36"/>
      <w:r>
        <w:rPr>
          <w:rFonts w:ascii="黑体" w:hAnsi="黑体" w:eastAsia="黑体"/>
          <w:b w:val="0"/>
          <w:sz w:val="21"/>
          <w:szCs w:val="21"/>
          <w14:ligatures w14:val="none"/>
        </w:rPr>
        <w:t>评价工作</w:t>
      </w:r>
      <w:bookmarkEnd w:id="55"/>
      <w:bookmarkEnd w:id="56"/>
    </w:p>
    <w:p w14:paraId="5665A20B">
      <w:pPr>
        <w:pStyle w:val="3"/>
        <w:spacing w:before="240" w:beforeLines="100" w:after="120"/>
        <w:rPr>
          <w:rFonts w:ascii="黑体" w:hAnsi="黑体" w:eastAsia="黑体"/>
          <w:b w:val="0"/>
          <w:sz w:val="21"/>
          <w:szCs w:val="21"/>
          <w14:ligatures w14:val="none"/>
        </w:rPr>
      </w:pPr>
      <w:bookmarkStart w:id="57" w:name="_Toc167487096"/>
      <w:bookmarkStart w:id="58" w:name="heading_37"/>
      <w:r>
        <w:rPr>
          <w:rFonts w:ascii="黑体" w:hAnsi="黑体" w:eastAsia="黑体"/>
          <w:b w:val="0"/>
          <w:sz w:val="21"/>
          <w:szCs w:val="21"/>
          <w14:ligatures w14:val="none"/>
        </w:rPr>
        <w:t>6.1</w:t>
      </w:r>
      <w:r>
        <w:rPr>
          <w:rFonts w:hint="eastAsia" w:ascii="黑体" w:hAnsi="黑体" w:eastAsia="黑体"/>
          <w:b w:val="0"/>
          <w:sz w:val="21"/>
          <w:szCs w:val="21"/>
          <w14:ligatures w14:val="none"/>
        </w:rPr>
        <w:t>基本</w:t>
      </w:r>
      <w:r>
        <w:rPr>
          <w:rFonts w:ascii="黑体" w:hAnsi="黑体" w:eastAsia="黑体"/>
          <w:b w:val="0"/>
          <w:sz w:val="21"/>
          <w:szCs w:val="21"/>
          <w14:ligatures w14:val="none"/>
        </w:rPr>
        <w:t>要求</w:t>
      </w:r>
      <w:bookmarkEnd w:id="57"/>
      <w:bookmarkEnd w:id="58"/>
    </w:p>
    <w:p w14:paraId="140676D6">
      <w:pPr>
        <w:spacing w:before="120" w:after="120" w:line="288" w:lineRule="auto"/>
        <w:jc w:val="left"/>
        <w:rPr>
          <w:rFonts w:ascii="宋体" w:hAnsi="宋体" w:eastAsia="宋体"/>
          <w:szCs w:val="21"/>
        </w:rPr>
      </w:pPr>
      <w:r>
        <w:rPr>
          <w:rFonts w:ascii="黑体" w:hAnsi="黑体" w:eastAsia="黑体" w:cs="Arial"/>
          <w:bCs/>
          <w:szCs w:val="21"/>
        </w:rPr>
        <w:t>6.1.1</w:t>
      </w:r>
      <w:r>
        <w:rPr>
          <w:rFonts w:hint="eastAsia" w:ascii="黑体" w:hAnsi="黑体" w:eastAsia="黑体" w:cs="Arial"/>
          <w:bCs/>
          <w:szCs w:val="21"/>
        </w:rPr>
        <w:t xml:space="preserve"> </w:t>
      </w:r>
      <w:r>
        <w:rPr>
          <w:rFonts w:ascii="宋体" w:hAnsi="宋体" w:eastAsia="宋体" w:cs="Arial"/>
          <w:szCs w:val="21"/>
        </w:rPr>
        <w:t>建筑业主应委托有资质的第三方评价机构开展申请评价类别的评价，评价机构应对评价证据进行分析，确保满足本文件的相关要求。</w:t>
      </w:r>
    </w:p>
    <w:p w14:paraId="5709A65D">
      <w:pPr>
        <w:spacing w:before="120" w:after="120" w:line="288" w:lineRule="auto"/>
        <w:jc w:val="left"/>
        <w:rPr>
          <w:rFonts w:ascii="宋体" w:hAnsi="宋体" w:eastAsia="宋体"/>
          <w:szCs w:val="21"/>
        </w:rPr>
      </w:pPr>
      <w:r>
        <w:rPr>
          <w:rFonts w:ascii="黑体" w:hAnsi="黑体" w:eastAsia="黑体" w:cs="Arial"/>
          <w:bCs/>
          <w:szCs w:val="21"/>
        </w:rPr>
        <w:t>6.1.2</w:t>
      </w:r>
      <w:r>
        <w:rPr>
          <w:rFonts w:hint="eastAsia" w:ascii="黑体" w:hAnsi="黑体" w:eastAsia="黑体" w:cs="Arial"/>
          <w:bCs/>
          <w:szCs w:val="21"/>
        </w:rPr>
        <w:t xml:space="preserve"> </w:t>
      </w:r>
      <w:r>
        <w:rPr>
          <w:rFonts w:ascii="宋体" w:hAnsi="宋体" w:eastAsia="宋体" w:cs="Arial"/>
          <w:szCs w:val="21"/>
        </w:rPr>
        <w:t>建筑业主提交的评价材料应符合相关要求（见附件），并对所提交材料的真实性和完整性负责。</w:t>
      </w:r>
    </w:p>
    <w:p w14:paraId="28402796">
      <w:pPr>
        <w:spacing w:before="120" w:after="120" w:line="288" w:lineRule="auto"/>
        <w:jc w:val="left"/>
        <w:rPr>
          <w:rFonts w:ascii="宋体" w:hAnsi="宋体" w:eastAsia="宋体"/>
          <w:szCs w:val="21"/>
        </w:rPr>
      </w:pPr>
      <w:r>
        <w:rPr>
          <w:rFonts w:ascii="黑体" w:hAnsi="黑体" w:eastAsia="黑体" w:cs="Arial"/>
          <w:bCs/>
          <w:szCs w:val="21"/>
        </w:rPr>
        <w:t>6.1.3</w:t>
      </w:r>
      <w:r>
        <w:rPr>
          <w:rFonts w:hint="eastAsia" w:ascii="黑体" w:hAnsi="黑体" w:eastAsia="黑体" w:cs="Arial"/>
          <w:bCs/>
          <w:szCs w:val="21"/>
        </w:rPr>
        <w:t xml:space="preserve"> </w:t>
      </w:r>
      <w:r>
        <w:rPr>
          <w:rFonts w:ascii="宋体" w:hAnsi="宋体" w:eastAsia="宋体" w:cs="Arial"/>
          <w:szCs w:val="21"/>
        </w:rPr>
        <w:t>评价机构应对建筑业主提交的材料进行审查，出具评价报告（见附件），确定评价结果。</w:t>
      </w:r>
    </w:p>
    <w:p w14:paraId="403B6B40">
      <w:pPr>
        <w:pStyle w:val="3"/>
        <w:spacing w:before="240" w:beforeLines="100" w:after="120"/>
        <w:rPr>
          <w:rFonts w:ascii="黑体" w:hAnsi="黑体" w:eastAsia="黑体"/>
          <w:b w:val="0"/>
          <w:sz w:val="21"/>
          <w:szCs w:val="21"/>
          <w14:ligatures w14:val="none"/>
        </w:rPr>
      </w:pPr>
      <w:bookmarkStart w:id="59" w:name="_Toc167487097"/>
      <w:bookmarkStart w:id="60" w:name="heading_38"/>
      <w:r>
        <w:rPr>
          <w:rFonts w:ascii="黑体" w:hAnsi="黑体" w:eastAsia="黑体"/>
          <w:b w:val="0"/>
          <w:sz w:val="21"/>
          <w:szCs w:val="21"/>
          <w14:ligatures w14:val="none"/>
        </w:rPr>
        <w:t>6.2 评价工作流程</w:t>
      </w:r>
      <w:bookmarkEnd w:id="59"/>
      <w:bookmarkEnd w:id="60"/>
    </w:p>
    <w:p w14:paraId="428E5436">
      <w:pPr>
        <w:spacing w:before="120" w:after="120" w:line="288" w:lineRule="auto"/>
        <w:ind w:firstLine="420"/>
        <w:jc w:val="left"/>
        <w:rPr>
          <w:rFonts w:ascii="宋体" w:hAnsi="宋体" w:eastAsia="宋体"/>
          <w:szCs w:val="21"/>
        </w:rPr>
      </w:pPr>
      <w:r>
        <w:rPr>
          <w:rFonts w:ascii="宋体" w:hAnsi="宋体" w:eastAsia="宋体" w:cs="Arial"/>
          <w:szCs w:val="21"/>
        </w:rPr>
        <w:t>建筑业主和第三方评价机构应基于图</w:t>
      </w:r>
      <w:r>
        <w:rPr>
          <w:rFonts w:hint="eastAsia" w:ascii="宋体" w:hAnsi="宋体" w:eastAsia="宋体" w:cs="Arial"/>
          <w:szCs w:val="21"/>
        </w:rPr>
        <w:t>8</w:t>
      </w:r>
      <w:r>
        <w:rPr>
          <w:rFonts w:ascii="宋体" w:hAnsi="宋体" w:eastAsia="宋体" w:cs="Arial"/>
          <w:szCs w:val="21"/>
        </w:rPr>
        <w:t>申请和开展评价。</w:t>
      </w:r>
    </w:p>
    <w:p w14:paraId="69416CEA">
      <w:pPr>
        <w:spacing w:before="120" w:after="120" w:line="288" w:lineRule="auto"/>
        <w:jc w:val="center"/>
        <w:rPr>
          <w:rFonts w:ascii="宋体" w:hAnsi="宋体" w:eastAsia="宋体"/>
          <w:szCs w:val="21"/>
        </w:rPr>
      </w:pPr>
      <w:r>
        <w:rPr>
          <w:rFonts w:ascii="宋体" w:hAnsi="宋体" w:eastAsia="宋体"/>
          <w:szCs w:val="21"/>
        </w:rPr>
        <w:drawing>
          <wp:inline distT="0" distB="0" distL="0" distR="0">
            <wp:extent cx="5257800" cy="3162300"/>
            <wp:effectExtent l="0" t="0" r="0" b="0"/>
            <wp:docPr id="7" name="Draw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pic:cNvPicPr>
                      <a:picLocks noChangeAspect="1"/>
                    </pic:cNvPicPr>
                  </pic:nvPicPr>
                  <pic:blipFill>
                    <a:blip r:embed="rId13"/>
                    <a:stretch>
                      <a:fillRect/>
                    </a:stretch>
                  </pic:blipFill>
                  <pic:spPr>
                    <a:xfrm>
                      <a:off x="0" y="0"/>
                      <a:ext cx="5257800" cy="3162300"/>
                    </a:xfrm>
                    <a:prstGeom prst="rect">
                      <a:avLst/>
                    </a:prstGeom>
                  </pic:spPr>
                </pic:pic>
              </a:graphicData>
            </a:graphic>
          </wp:inline>
        </w:drawing>
      </w:r>
    </w:p>
    <w:p w14:paraId="0DFC29EC">
      <w:pPr>
        <w:spacing w:before="120" w:after="120" w:line="288" w:lineRule="auto"/>
        <w:jc w:val="center"/>
        <w:rPr>
          <w:rFonts w:ascii="黑体" w:hAnsi="黑体" w:eastAsia="黑体"/>
          <w:szCs w:val="21"/>
        </w:rPr>
      </w:pPr>
      <w:r>
        <w:rPr>
          <w:rFonts w:ascii="黑体" w:hAnsi="黑体" w:eastAsia="黑体" w:cs="Arial"/>
          <w:szCs w:val="21"/>
        </w:rPr>
        <w:t>图</w:t>
      </w:r>
      <w:r>
        <w:rPr>
          <w:rFonts w:hint="eastAsia" w:ascii="黑体" w:hAnsi="黑体" w:eastAsia="黑体" w:cs="Arial"/>
          <w:szCs w:val="21"/>
        </w:rPr>
        <w:t>8</w:t>
      </w:r>
      <w:r>
        <w:rPr>
          <w:rFonts w:ascii="黑体" w:hAnsi="黑体" w:eastAsia="黑体" w:cs="Arial"/>
          <w:szCs w:val="21"/>
        </w:rPr>
        <w:t xml:space="preserve"> 评价流程</w:t>
      </w:r>
    </w:p>
    <w:p w14:paraId="1DE0FF34">
      <w:pPr>
        <w:pStyle w:val="3"/>
        <w:spacing w:before="240" w:beforeLines="100" w:after="120"/>
        <w:rPr>
          <w:rFonts w:ascii="黑体" w:hAnsi="黑体" w:eastAsia="黑体"/>
          <w:b w:val="0"/>
          <w:sz w:val="21"/>
          <w:szCs w:val="21"/>
          <w14:ligatures w14:val="none"/>
        </w:rPr>
      </w:pPr>
      <w:bookmarkStart w:id="61" w:name="_Toc167487098"/>
      <w:bookmarkStart w:id="62" w:name="heading_39"/>
      <w:r>
        <w:rPr>
          <w:rFonts w:ascii="黑体" w:hAnsi="黑体" w:eastAsia="黑体"/>
          <w:b w:val="0"/>
          <w:sz w:val="21"/>
          <w:szCs w:val="21"/>
          <w14:ligatures w14:val="none"/>
        </w:rPr>
        <w:t>6.3 评价结果信息应用及公开</w:t>
      </w:r>
      <w:bookmarkEnd w:id="61"/>
      <w:bookmarkEnd w:id="62"/>
    </w:p>
    <w:p w14:paraId="5BAB37C5">
      <w:pPr>
        <w:spacing w:line="288" w:lineRule="auto"/>
        <w:jc w:val="left"/>
        <w:rPr>
          <w:rFonts w:ascii="宋体" w:hAnsi="宋体" w:eastAsia="宋体" w:cs="Arial"/>
          <w:szCs w:val="21"/>
        </w:rPr>
      </w:pPr>
      <w:r>
        <w:rPr>
          <w:rFonts w:ascii="黑体" w:hAnsi="黑体" w:eastAsia="黑体" w:cs="Arial"/>
          <w:szCs w:val="21"/>
        </w:rPr>
        <w:t xml:space="preserve">6.3.1 </w:t>
      </w:r>
      <w:r>
        <w:rPr>
          <w:rFonts w:ascii="宋体" w:hAnsi="宋体" w:eastAsia="宋体" w:cs="Arial"/>
          <w:szCs w:val="21"/>
        </w:rPr>
        <w:t>被评定为“净零目标”、“净零进程”、“净零就绪”的建筑将在评价网站上进行公开发布</w:t>
      </w:r>
      <w:r>
        <w:rPr>
          <w:rFonts w:hint="eastAsia" w:ascii="宋体" w:hAnsi="宋体" w:eastAsia="宋体" w:cs="Arial"/>
          <w:szCs w:val="21"/>
        </w:rPr>
        <w:t>。</w:t>
      </w:r>
    </w:p>
    <w:p w14:paraId="52875E27">
      <w:pPr>
        <w:spacing w:line="288" w:lineRule="auto"/>
        <w:jc w:val="left"/>
        <w:rPr>
          <w:rFonts w:ascii="宋体" w:hAnsi="宋体" w:eastAsia="宋体" w:cs="Arial"/>
          <w:szCs w:val="21"/>
        </w:rPr>
      </w:pPr>
      <w:r>
        <w:rPr>
          <w:rFonts w:ascii="黑体" w:hAnsi="黑体" w:eastAsia="黑体" w:cs="Arial"/>
          <w:szCs w:val="21"/>
        </w:rPr>
        <w:t xml:space="preserve">6.3.2 </w:t>
      </w:r>
      <w:r>
        <w:rPr>
          <w:rFonts w:ascii="宋体" w:hAnsi="宋体" w:eastAsia="宋体" w:cs="Arial"/>
          <w:szCs w:val="21"/>
        </w:rPr>
        <w:t>被评定为“净零运营-银”、“净零运营-金”和“净零建筑-铂金”建筑将由协会颁相应的等级证书</w:t>
      </w:r>
      <w:r>
        <w:rPr>
          <w:rFonts w:hint="eastAsia" w:ascii="宋体" w:hAnsi="宋体" w:eastAsia="宋体" w:cs="Arial"/>
          <w:szCs w:val="21"/>
        </w:rPr>
        <w:t>。</w:t>
      </w:r>
    </w:p>
    <w:p w14:paraId="2E33D2FD">
      <w:pPr>
        <w:spacing w:line="288" w:lineRule="auto"/>
        <w:jc w:val="left"/>
        <w:rPr>
          <w:rFonts w:ascii="宋体" w:hAnsi="宋体" w:eastAsia="宋体" w:cs="Arial"/>
          <w:szCs w:val="21"/>
        </w:rPr>
      </w:pPr>
      <w:r>
        <w:rPr>
          <w:rFonts w:ascii="黑体" w:hAnsi="黑体" w:eastAsia="黑体" w:cs="Arial"/>
          <w:szCs w:val="21"/>
        </w:rPr>
        <w:t xml:space="preserve">6.3.2 </w:t>
      </w:r>
      <w:r>
        <w:rPr>
          <w:rFonts w:ascii="宋体" w:hAnsi="宋体" w:eastAsia="宋体" w:cs="Arial"/>
          <w:szCs w:val="21"/>
        </w:rPr>
        <w:t>获得评价的建筑业主应按相关主管部门要求，接受社会监督，并将评价结果进行公开。</w:t>
      </w:r>
    </w:p>
    <w:p w14:paraId="6F05FCE5">
      <w:pPr>
        <w:widowControl/>
        <w:jc w:val="left"/>
        <w:rPr>
          <w:rFonts w:ascii="宋体" w:hAnsi="宋体" w:eastAsia="宋体" w:cs="Arial"/>
          <w:szCs w:val="21"/>
        </w:rPr>
      </w:pPr>
      <w:r>
        <w:rPr>
          <w:rFonts w:ascii="宋体" w:hAnsi="宋体" w:eastAsia="宋体" w:cs="Arial"/>
          <w:szCs w:val="21"/>
        </w:rPr>
        <w:br w:type="page"/>
      </w:r>
    </w:p>
    <w:p w14:paraId="7FCE8012">
      <w:pPr>
        <w:spacing w:before="300" w:after="120" w:line="288" w:lineRule="auto"/>
        <w:jc w:val="center"/>
        <w:outlineLvl w:val="2"/>
        <w:rPr>
          <w:rFonts w:ascii="Arial" w:hAnsi="Arial" w:eastAsia="等线" w:cs="Arial"/>
          <w:b/>
          <w:sz w:val="30"/>
        </w:rPr>
      </w:pPr>
      <w:bookmarkStart w:id="63" w:name="_Toc167487099"/>
      <w:bookmarkStart w:id="64" w:name="heading_41"/>
      <w:r>
        <w:rPr>
          <w:rStyle w:val="22"/>
          <w:rFonts w:hint="eastAsia" w:ascii="黑体" w:hAnsi="黑体" w:eastAsia="黑体"/>
          <w:color w:val="000000"/>
          <w:szCs w:val="21"/>
          <w:shd w:val="clear" w:color="auto" w:fill="FFFFFF"/>
        </w:rPr>
        <w:t>附 录 A</w:t>
      </w:r>
      <w:bookmarkEnd w:id="63"/>
    </w:p>
    <w:p w14:paraId="3A12E9C5">
      <w:pPr>
        <w:spacing w:line="360" w:lineRule="auto"/>
        <w:jc w:val="center"/>
        <w:rPr>
          <w:rFonts w:ascii="黑体" w:hAnsi="黑体" w:eastAsia="黑体" w:cs="Arial"/>
          <w:bCs/>
          <w:szCs w:val="21"/>
        </w:rPr>
      </w:pPr>
      <w:r>
        <w:rPr>
          <w:rFonts w:hint="eastAsia" w:ascii="黑体" w:hAnsi="黑体" w:eastAsia="黑体" w:cs="Arial"/>
          <w:bCs/>
          <w:szCs w:val="21"/>
        </w:rPr>
        <w:t>建筑</w:t>
      </w:r>
      <w:r>
        <w:rPr>
          <w:rFonts w:ascii="黑体" w:hAnsi="黑体" w:eastAsia="黑体" w:cs="Arial"/>
          <w:bCs/>
          <w:szCs w:val="21"/>
        </w:rPr>
        <w:t>碳排放范围界定和核算</w:t>
      </w:r>
      <w:bookmarkEnd w:id="64"/>
    </w:p>
    <w:p w14:paraId="029F060F">
      <w:pPr>
        <w:spacing w:before="120" w:after="120" w:line="288" w:lineRule="auto"/>
        <w:jc w:val="left"/>
        <w:rPr>
          <w:rFonts w:ascii="黑体" w:hAnsi="黑体" w:eastAsia="黑体"/>
          <w:bCs/>
          <w:sz w:val="20"/>
          <w:szCs w:val="21"/>
        </w:rPr>
      </w:pPr>
      <w:r>
        <w:rPr>
          <w:rFonts w:ascii="黑体" w:hAnsi="黑体" w:eastAsia="黑体" w:cs="Arial"/>
          <w:bCs/>
          <w:szCs w:val="21"/>
        </w:rPr>
        <w:t>A.1 核算流程</w:t>
      </w:r>
    </w:p>
    <w:p w14:paraId="29B8189C">
      <w:pPr>
        <w:spacing w:before="120" w:after="120" w:line="288" w:lineRule="auto"/>
        <w:ind w:firstLine="420"/>
        <w:jc w:val="left"/>
        <w:rPr>
          <w:rFonts w:ascii="宋体" w:hAnsi="宋体" w:eastAsia="宋体"/>
          <w:sz w:val="20"/>
          <w:szCs w:val="21"/>
        </w:rPr>
      </w:pPr>
      <w:r>
        <w:rPr>
          <w:rFonts w:hint="eastAsia" w:ascii="宋体" w:hAnsi="宋体" w:eastAsia="宋体" w:cs="Arial"/>
          <w:szCs w:val="21"/>
        </w:rPr>
        <w:t>开展建筑</w:t>
      </w:r>
      <w:r>
        <w:rPr>
          <w:rFonts w:ascii="宋体" w:hAnsi="宋体" w:eastAsia="宋体" w:cs="Arial"/>
          <w:szCs w:val="21"/>
        </w:rPr>
        <w:t>温室气体排放核算</w:t>
      </w:r>
      <w:r>
        <w:rPr>
          <w:rFonts w:hint="eastAsia" w:ascii="宋体" w:hAnsi="宋体" w:eastAsia="宋体" w:cs="Arial"/>
          <w:szCs w:val="21"/>
        </w:rPr>
        <w:t>可遵循以下</w:t>
      </w:r>
      <w:r>
        <w:rPr>
          <w:rFonts w:ascii="宋体" w:hAnsi="宋体" w:eastAsia="宋体" w:cs="Arial"/>
          <w:szCs w:val="21"/>
        </w:rPr>
        <w:t>步骤：</w:t>
      </w:r>
    </w:p>
    <w:p w14:paraId="1694E421">
      <w:pPr>
        <w:pStyle w:val="18"/>
        <w:numPr>
          <w:ilvl w:val="0"/>
          <w:numId w:val="15"/>
        </w:numPr>
        <w:spacing w:before="120" w:after="120" w:line="288" w:lineRule="auto"/>
        <w:ind w:firstLineChars="0"/>
        <w:jc w:val="left"/>
        <w:rPr>
          <w:rFonts w:ascii="宋体" w:hAnsi="宋体" w:eastAsia="宋体"/>
          <w:sz w:val="20"/>
          <w:szCs w:val="21"/>
        </w:rPr>
      </w:pPr>
      <w:r>
        <w:rPr>
          <w:rFonts w:ascii="宋体" w:hAnsi="宋体" w:eastAsia="宋体" w:cs="Arial"/>
          <w:szCs w:val="21"/>
        </w:rPr>
        <w:t>确定核算边界；</w:t>
      </w:r>
    </w:p>
    <w:p w14:paraId="69008D18">
      <w:pPr>
        <w:pStyle w:val="18"/>
        <w:numPr>
          <w:ilvl w:val="0"/>
          <w:numId w:val="15"/>
        </w:numPr>
        <w:spacing w:before="120" w:after="120" w:line="288" w:lineRule="auto"/>
        <w:ind w:firstLineChars="0"/>
        <w:jc w:val="left"/>
        <w:rPr>
          <w:rFonts w:ascii="宋体" w:hAnsi="宋体" w:eastAsia="宋体"/>
          <w:sz w:val="20"/>
          <w:szCs w:val="21"/>
        </w:rPr>
      </w:pPr>
      <w:r>
        <w:rPr>
          <w:rFonts w:ascii="宋体" w:hAnsi="宋体" w:eastAsia="宋体" w:cs="Arial"/>
          <w:szCs w:val="21"/>
        </w:rPr>
        <w:t>识别排放源；</w:t>
      </w:r>
    </w:p>
    <w:p w14:paraId="5531BA05">
      <w:pPr>
        <w:pStyle w:val="18"/>
        <w:numPr>
          <w:ilvl w:val="0"/>
          <w:numId w:val="15"/>
        </w:numPr>
        <w:spacing w:before="120" w:after="120" w:line="288" w:lineRule="auto"/>
        <w:ind w:firstLineChars="0"/>
        <w:jc w:val="left"/>
        <w:rPr>
          <w:rFonts w:ascii="宋体" w:hAnsi="宋体" w:eastAsia="宋体"/>
          <w:sz w:val="20"/>
          <w:szCs w:val="21"/>
        </w:rPr>
      </w:pPr>
      <w:r>
        <w:rPr>
          <w:rFonts w:ascii="宋体" w:hAnsi="宋体" w:eastAsia="宋体" w:cs="Arial"/>
          <w:szCs w:val="21"/>
        </w:rPr>
        <w:t>收集评价年度活动水平数据；</w:t>
      </w:r>
    </w:p>
    <w:p w14:paraId="6FBA25A9">
      <w:pPr>
        <w:pStyle w:val="18"/>
        <w:numPr>
          <w:ilvl w:val="0"/>
          <w:numId w:val="15"/>
        </w:numPr>
        <w:spacing w:before="120" w:after="120" w:line="288" w:lineRule="auto"/>
        <w:ind w:firstLineChars="0"/>
        <w:jc w:val="left"/>
        <w:rPr>
          <w:rFonts w:ascii="宋体" w:hAnsi="宋体" w:eastAsia="宋体"/>
          <w:sz w:val="20"/>
          <w:szCs w:val="21"/>
        </w:rPr>
      </w:pPr>
      <w:r>
        <w:rPr>
          <w:rFonts w:ascii="宋体" w:hAnsi="宋体" w:eastAsia="宋体" w:cs="Arial"/>
          <w:szCs w:val="21"/>
        </w:rPr>
        <w:t>选择和获取排放因子数据，其中，关于外购电力部分均采用基于市场的排放因子；</w:t>
      </w:r>
    </w:p>
    <w:p w14:paraId="5343A80C">
      <w:pPr>
        <w:pStyle w:val="18"/>
        <w:numPr>
          <w:ilvl w:val="0"/>
          <w:numId w:val="15"/>
        </w:numPr>
        <w:spacing w:before="120" w:after="120" w:line="288" w:lineRule="auto"/>
        <w:ind w:firstLineChars="0"/>
        <w:jc w:val="left"/>
        <w:rPr>
          <w:rFonts w:ascii="宋体" w:hAnsi="宋体" w:eastAsia="宋体"/>
          <w:sz w:val="20"/>
          <w:szCs w:val="21"/>
        </w:rPr>
      </w:pPr>
      <w:r>
        <w:rPr>
          <w:rFonts w:ascii="宋体" w:hAnsi="宋体" w:eastAsia="宋体" w:cs="Arial"/>
          <w:szCs w:val="21"/>
        </w:rPr>
        <w:t>分别计算化石燃料燃烧排放、净购入使用的电力和热力对应的排放；</w:t>
      </w:r>
    </w:p>
    <w:p w14:paraId="6592C4AD">
      <w:pPr>
        <w:pStyle w:val="18"/>
        <w:numPr>
          <w:ilvl w:val="0"/>
          <w:numId w:val="15"/>
        </w:numPr>
        <w:spacing w:before="120" w:after="120" w:line="288" w:lineRule="auto"/>
        <w:ind w:firstLineChars="0"/>
        <w:jc w:val="left"/>
        <w:rPr>
          <w:rFonts w:ascii="宋体" w:hAnsi="宋体" w:eastAsia="宋体"/>
          <w:sz w:val="20"/>
          <w:szCs w:val="21"/>
        </w:rPr>
      </w:pPr>
      <w:r>
        <w:rPr>
          <w:rFonts w:ascii="宋体" w:hAnsi="宋体" w:eastAsia="宋体" w:cs="Arial"/>
          <w:szCs w:val="21"/>
        </w:rPr>
        <w:t>汇总温室气体排放量。</w:t>
      </w:r>
    </w:p>
    <w:p w14:paraId="64784203">
      <w:pPr>
        <w:spacing w:before="120" w:after="120" w:line="288" w:lineRule="auto"/>
        <w:jc w:val="left"/>
        <w:rPr>
          <w:rFonts w:ascii="黑体" w:hAnsi="黑体" w:eastAsia="黑体" w:cs="Arial"/>
          <w:bCs/>
          <w:szCs w:val="21"/>
        </w:rPr>
      </w:pPr>
      <w:r>
        <w:rPr>
          <w:rFonts w:ascii="黑体" w:hAnsi="黑体" w:eastAsia="黑体" w:cs="Arial"/>
          <w:bCs/>
          <w:szCs w:val="21"/>
        </w:rPr>
        <w:t>A.2 核算范围</w:t>
      </w:r>
    </w:p>
    <w:p w14:paraId="5638932B">
      <w:pPr>
        <w:spacing w:before="120" w:after="120" w:line="288" w:lineRule="auto"/>
        <w:ind w:firstLine="420"/>
        <w:jc w:val="left"/>
        <w:rPr>
          <w:rFonts w:ascii="宋体" w:hAnsi="宋体" w:eastAsia="宋体" w:cs="Arial"/>
          <w:szCs w:val="21"/>
        </w:rPr>
      </w:pPr>
      <w:r>
        <w:rPr>
          <w:rFonts w:ascii="宋体" w:hAnsi="宋体" w:eastAsia="宋体" w:cs="Arial"/>
          <w:szCs w:val="21"/>
        </w:rPr>
        <w:t>商业办公建筑</w:t>
      </w:r>
      <w:r>
        <w:rPr>
          <w:rFonts w:hint="eastAsia" w:ascii="宋体" w:hAnsi="宋体" w:eastAsia="宋体" w:cs="Arial"/>
          <w:szCs w:val="21"/>
        </w:rPr>
        <w:t>碳排放核算参考温室气体核算体系。基于控制权法对建筑业主所拥有的建筑进行核算，核算边界为建筑区域边界（包括建筑面积以内区域和建筑周边附属区域，例如地上停车场等）。建筑业主范围1和2排放范围界定如表A1所示。</w:t>
      </w:r>
    </w:p>
    <w:p w14:paraId="122C111E">
      <w:pPr>
        <w:spacing w:before="120" w:after="120" w:line="288" w:lineRule="auto"/>
        <w:jc w:val="center"/>
        <w:rPr>
          <w:rFonts w:ascii="黑体" w:hAnsi="黑体" w:eastAsia="黑体" w:cs="Arial"/>
          <w:bCs/>
          <w:szCs w:val="21"/>
        </w:rPr>
      </w:pPr>
      <w:r>
        <w:rPr>
          <w:rFonts w:hint="eastAsia" w:ascii="黑体" w:hAnsi="黑体" w:eastAsia="黑体" w:cs="Arial"/>
          <w:bCs/>
          <w:szCs w:val="21"/>
        </w:rPr>
        <w:t xml:space="preserve">表A1 </w:t>
      </w:r>
      <w:r>
        <w:rPr>
          <w:rFonts w:ascii="黑体" w:hAnsi="黑体" w:eastAsia="黑体" w:cs="Arial"/>
          <w:bCs/>
          <w:szCs w:val="21"/>
        </w:rPr>
        <w:t>商业办公建筑业主范围1&amp;2碳排放界定和核算</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DEE0E3" w:sz="2" w:space="0"/>
          <w:insideV w:val="single" w:color="DEE0E3" w:sz="2" w:space="0"/>
        </w:tblBorders>
        <w:tblLayout w:type="fixed"/>
        <w:tblCellMar>
          <w:top w:w="0" w:type="dxa"/>
          <w:left w:w="10" w:type="dxa"/>
          <w:bottom w:w="0" w:type="dxa"/>
          <w:right w:w="10" w:type="dxa"/>
        </w:tblCellMar>
      </w:tblPr>
      <w:tblGrid>
        <w:gridCol w:w="1035"/>
        <w:gridCol w:w="1035"/>
        <w:gridCol w:w="6981"/>
      </w:tblGrid>
      <w:tr w14:paraId="257FA9B7">
        <w:tblPrEx>
          <w:tblBorders>
            <w:top w:val="single" w:color="auto" w:sz="8" w:space="0"/>
            <w:left w:val="single" w:color="auto" w:sz="8" w:space="0"/>
            <w:bottom w:val="single" w:color="auto" w:sz="8" w:space="0"/>
            <w:right w:val="single" w:color="auto" w:sz="8" w:space="0"/>
            <w:insideH w:val="single" w:color="DEE0E3" w:sz="2" w:space="0"/>
            <w:insideV w:val="single" w:color="DEE0E3" w:sz="2" w:space="0"/>
          </w:tblBorders>
          <w:tblCellMar>
            <w:top w:w="0" w:type="dxa"/>
            <w:left w:w="10" w:type="dxa"/>
            <w:bottom w:w="0" w:type="dxa"/>
            <w:right w:w="10" w:type="dxa"/>
          </w:tblCellMar>
        </w:tblPrEx>
        <w:tc>
          <w:tcPr>
            <w:tcW w:w="1035" w:type="dxa"/>
            <w:tcBorders>
              <w:top w:val="single" w:color="auto" w:sz="8" w:space="0"/>
              <w:bottom w:val="single" w:color="auto" w:sz="8" w:space="0"/>
              <w:right w:val="single" w:color="auto" w:sz="4" w:space="0"/>
            </w:tcBorders>
            <w:tcMar>
              <w:top w:w="60" w:type="dxa"/>
              <w:left w:w="120" w:type="dxa"/>
              <w:bottom w:w="30" w:type="dxa"/>
              <w:right w:w="120" w:type="dxa"/>
            </w:tcMar>
          </w:tcPr>
          <w:p w14:paraId="3F99776D">
            <w:pPr>
              <w:spacing w:line="288" w:lineRule="auto"/>
              <w:jc w:val="center"/>
              <w:rPr>
                <w:rFonts w:ascii="宋体" w:hAnsi="宋体" w:eastAsia="宋体"/>
                <w:sz w:val="18"/>
                <w:szCs w:val="18"/>
              </w:rPr>
            </w:pPr>
            <w:r>
              <w:rPr>
                <w:rFonts w:ascii="宋体" w:hAnsi="宋体" w:eastAsia="宋体" w:cs="Arial"/>
                <w:sz w:val="18"/>
                <w:szCs w:val="18"/>
              </w:rPr>
              <w:t>类别</w:t>
            </w:r>
          </w:p>
        </w:tc>
        <w:tc>
          <w:tcPr>
            <w:tcW w:w="1035" w:type="dxa"/>
            <w:tcBorders>
              <w:top w:val="single" w:color="auto" w:sz="8" w:space="0"/>
              <w:left w:val="single" w:color="auto" w:sz="4" w:space="0"/>
              <w:bottom w:val="single" w:color="auto" w:sz="8" w:space="0"/>
              <w:right w:val="single" w:color="auto" w:sz="4" w:space="0"/>
            </w:tcBorders>
            <w:tcMar>
              <w:top w:w="60" w:type="dxa"/>
              <w:left w:w="120" w:type="dxa"/>
              <w:bottom w:w="30" w:type="dxa"/>
              <w:right w:w="120" w:type="dxa"/>
            </w:tcMar>
          </w:tcPr>
          <w:p w14:paraId="7D876E08">
            <w:pPr>
              <w:spacing w:line="288" w:lineRule="auto"/>
              <w:jc w:val="center"/>
              <w:rPr>
                <w:rFonts w:ascii="宋体" w:hAnsi="宋体" w:eastAsia="宋体"/>
                <w:sz w:val="18"/>
                <w:szCs w:val="18"/>
              </w:rPr>
            </w:pPr>
            <w:r>
              <w:rPr>
                <w:rFonts w:ascii="宋体" w:hAnsi="宋体" w:eastAsia="宋体" w:cs="Arial"/>
                <w:sz w:val="18"/>
                <w:szCs w:val="18"/>
              </w:rPr>
              <w:t>排放类型</w:t>
            </w:r>
          </w:p>
        </w:tc>
        <w:tc>
          <w:tcPr>
            <w:tcW w:w="6981" w:type="dxa"/>
            <w:tcBorders>
              <w:top w:val="single" w:color="auto" w:sz="8" w:space="0"/>
              <w:left w:val="single" w:color="auto" w:sz="4" w:space="0"/>
              <w:bottom w:val="single" w:color="auto" w:sz="8" w:space="0"/>
            </w:tcBorders>
            <w:tcMar>
              <w:top w:w="60" w:type="dxa"/>
              <w:left w:w="120" w:type="dxa"/>
              <w:bottom w:w="30" w:type="dxa"/>
              <w:right w:w="120" w:type="dxa"/>
            </w:tcMar>
          </w:tcPr>
          <w:p w14:paraId="4F951627">
            <w:pPr>
              <w:spacing w:line="288" w:lineRule="auto"/>
              <w:jc w:val="center"/>
              <w:rPr>
                <w:rFonts w:ascii="宋体" w:hAnsi="宋体" w:eastAsia="宋体"/>
                <w:sz w:val="18"/>
                <w:szCs w:val="18"/>
              </w:rPr>
            </w:pPr>
            <w:r>
              <w:rPr>
                <w:rFonts w:ascii="宋体" w:hAnsi="宋体" w:eastAsia="宋体" w:cs="Arial"/>
                <w:sz w:val="18"/>
                <w:szCs w:val="18"/>
              </w:rPr>
              <w:t>建筑业主碳排放核算的处理方式</w:t>
            </w:r>
          </w:p>
        </w:tc>
      </w:tr>
      <w:tr w14:paraId="3BA16AB7">
        <w:tblPrEx>
          <w:tblBorders>
            <w:top w:val="single" w:color="auto" w:sz="8" w:space="0"/>
            <w:left w:val="single" w:color="auto" w:sz="8" w:space="0"/>
            <w:bottom w:val="single" w:color="auto" w:sz="8" w:space="0"/>
            <w:right w:val="single" w:color="auto" w:sz="8" w:space="0"/>
            <w:insideH w:val="single" w:color="DEE0E3" w:sz="2" w:space="0"/>
            <w:insideV w:val="single" w:color="DEE0E3" w:sz="2" w:space="0"/>
          </w:tblBorders>
          <w:tblCellMar>
            <w:top w:w="0" w:type="dxa"/>
            <w:left w:w="10" w:type="dxa"/>
            <w:bottom w:w="0" w:type="dxa"/>
            <w:right w:w="10" w:type="dxa"/>
          </w:tblCellMar>
        </w:tblPrEx>
        <w:trPr>
          <w:trHeight w:val="20" w:hRule="atLeast"/>
        </w:trPr>
        <w:tc>
          <w:tcPr>
            <w:tcW w:w="1035" w:type="dxa"/>
            <w:vMerge w:val="restart"/>
            <w:tcBorders>
              <w:top w:val="single" w:color="auto" w:sz="8" w:space="0"/>
              <w:bottom w:val="single" w:color="auto" w:sz="4" w:space="0"/>
              <w:right w:val="single" w:color="auto" w:sz="4" w:space="0"/>
            </w:tcBorders>
            <w:tcMar>
              <w:top w:w="60" w:type="dxa"/>
              <w:left w:w="120" w:type="dxa"/>
              <w:bottom w:w="30" w:type="dxa"/>
              <w:right w:w="120" w:type="dxa"/>
            </w:tcMar>
            <w:vAlign w:val="center"/>
          </w:tcPr>
          <w:p w14:paraId="386A79A1">
            <w:pPr>
              <w:spacing w:line="288" w:lineRule="auto"/>
              <w:rPr>
                <w:rFonts w:ascii="宋体" w:hAnsi="宋体" w:eastAsia="宋体"/>
                <w:sz w:val="18"/>
                <w:szCs w:val="18"/>
              </w:rPr>
            </w:pPr>
            <w:r>
              <w:rPr>
                <w:rFonts w:ascii="宋体" w:hAnsi="宋体" w:eastAsia="宋体" w:cs="Arial"/>
                <w:sz w:val="18"/>
                <w:szCs w:val="18"/>
              </w:rPr>
              <w:t>范围1</w:t>
            </w:r>
          </w:p>
        </w:tc>
        <w:tc>
          <w:tcPr>
            <w:tcW w:w="1035"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7C8EA9B">
            <w:pPr>
              <w:spacing w:line="288" w:lineRule="auto"/>
              <w:rPr>
                <w:rFonts w:ascii="宋体" w:hAnsi="宋体" w:eastAsia="宋体"/>
                <w:sz w:val="18"/>
                <w:szCs w:val="18"/>
              </w:rPr>
            </w:pPr>
            <w:r>
              <w:rPr>
                <w:rFonts w:ascii="宋体" w:hAnsi="宋体" w:eastAsia="宋体" w:cs="Arial"/>
                <w:sz w:val="18"/>
                <w:szCs w:val="18"/>
              </w:rPr>
              <w:t>固定源燃烧排放</w:t>
            </w:r>
          </w:p>
        </w:tc>
        <w:tc>
          <w:tcPr>
            <w:tcW w:w="6981" w:type="dxa"/>
            <w:tcBorders>
              <w:top w:val="single" w:color="auto" w:sz="8" w:space="0"/>
              <w:left w:val="single" w:color="auto" w:sz="4" w:space="0"/>
              <w:bottom w:val="single" w:color="auto" w:sz="4" w:space="0"/>
            </w:tcBorders>
            <w:tcMar>
              <w:top w:w="60" w:type="dxa"/>
              <w:left w:w="120" w:type="dxa"/>
              <w:bottom w:w="30" w:type="dxa"/>
              <w:right w:w="120" w:type="dxa"/>
            </w:tcMar>
            <w:vAlign w:val="center"/>
          </w:tcPr>
          <w:p w14:paraId="21DD2356">
            <w:pPr>
              <w:spacing w:line="288" w:lineRule="auto"/>
              <w:rPr>
                <w:rFonts w:ascii="宋体" w:hAnsi="宋体" w:eastAsia="宋体"/>
                <w:sz w:val="18"/>
                <w:szCs w:val="18"/>
              </w:rPr>
            </w:pPr>
            <w:r>
              <w:rPr>
                <w:rFonts w:ascii="宋体" w:hAnsi="宋体" w:eastAsia="宋体" w:cs="Arial"/>
                <w:sz w:val="18"/>
                <w:szCs w:val="18"/>
              </w:rPr>
              <w:t>需要考虑，建筑业主直接控制的燃料燃烧产生的碳排放</w:t>
            </w:r>
          </w:p>
        </w:tc>
      </w:tr>
      <w:tr w14:paraId="0D6F5DB9">
        <w:tblPrEx>
          <w:tblBorders>
            <w:top w:val="single" w:color="auto" w:sz="8" w:space="0"/>
            <w:left w:val="single" w:color="auto" w:sz="8" w:space="0"/>
            <w:bottom w:val="single" w:color="auto" w:sz="8" w:space="0"/>
            <w:right w:val="single" w:color="auto" w:sz="8" w:space="0"/>
            <w:insideH w:val="single" w:color="DEE0E3" w:sz="2" w:space="0"/>
            <w:insideV w:val="single" w:color="DEE0E3" w:sz="2" w:space="0"/>
          </w:tblBorders>
          <w:tblCellMar>
            <w:top w:w="0" w:type="dxa"/>
            <w:left w:w="10" w:type="dxa"/>
            <w:bottom w:w="0" w:type="dxa"/>
            <w:right w:w="10" w:type="dxa"/>
          </w:tblCellMar>
        </w:tblPrEx>
        <w:trPr>
          <w:trHeight w:val="20" w:hRule="atLeast"/>
        </w:trPr>
        <w:tc>
          <w:tcPr>
            <w:tcW w:w="1035" w:type="dxa"/>
            <w:vMerge w:val="continue"/>
            <w:tcBorders>
              <w:top w:val="single" w:color="auto" w:sz="4" w:space="0"/>
              <w:bottom w:val="single" w:color="auto" w:sz="4" w:space="0"/>
              <w:right w:val="single" w:color="auto" w:sz="4" w:space="0"/>
            </w:tcBorders>
            <w:tcMar>
              <w:top w:w="60" w:type="dxa"/>
              <w:left w:w="120" w:type="dxa"/>
              <w:bottom w:w="30" w:type="dxa"/>
              <w:right w:w="120" w:type="dxa"/>
            </w:tcMar>
            <w:vAlign w:val="center"/>
          </w:tcPr>
          <w:p w14:paraId="3A87CB78">
            <w:pPr>
              <w:spacing w:line="288" w:lineRule="auto"/>
              <w:rPr>
                <w:rFonts w:ascii="宋体" w:hAnsi="宋体" w:eastAsia="宋体"/>
                <w:sz w:val="18"/>
                <w:szCs w:val="18"/>
              </w:rPr>
            </w:pPr>
          </w:p>
        </w:tc>
        <w:tc>
          <w:tcPr>
            <w:tcW w:w="103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6957E08">
            <w:pPr>
              <w:spacing w:line="288" w:lineRule="auto"/>
              <w:rPr>
                <w:rFonts w:ascii="宋体" w:hAnsi="宋体" w:eastAsia="宋体"/>
                <w:sz w:val="18"/>
                <w:szCs w:val="18"/>
              </w:rPr>
            </w:pPr>
            <w:r>
              <w:rPr>
                <w:rFonts w:ascii="宋体" w:hAnsi="宋体" w:eastAsia="宋体" w:cs="Arial"/>
                <w:sz w:val="18"/>
                <w:szCs w:val="18"/>
              </w:rPr>
              <w:t>逸散排放</w:t>
            </w:r>
          </w:p>
        </w:tc>
        <w:tc>
          <w:tcPr>
            <w:tcW w:w="6981" w:type="dxa"/>
            <w:tcBorders>
              <w:top w:val="single" w:color="auto" w:sz="4" w:space="0"/>
              <w:left w:val="single" w:color="auto" w:sz="4" w:space="0"/>
              <w:bottom w:val="single" w:color="auto" w:sz="4" w:space="0"/>
            </w:tcBorders>
            <w:tcMar>
              <w:top w:w="60" w:type="dxa"/>
              <w:left w:w="120" w:type="dxa"/>
              <w:bottom w:w="30" w:type="dxa"/>
              <w:right w:w="120" w:type="dxa"/>
            </w:tcMar>
            <w:vAlign w:val="center"/>
          </w:tcPr>
          <w:p w14:paraId="3010BEAA">
            <w:pPr>
              <w:spacing w:line="288" w:lineRule="auto"/>
              <w:rPr>
                <w:rFonts w:ascii="宋体" w:hAnsi="宋体" w:eastAsia="宋体"/>
                <w:sz w:val="18"/>
                <w:szCs w:val="18"/>
              </w:rPr>
            </w:pPr>
            <w:r>
              <w:rPr>
                <w:rFonts w:ascii="宋体" w:hAnsi="宋体" w:eastAsia="宋体" w:cs="Arial"/>
                <w:sz w:val="18"/>
                <w:szCs w:val="18"/>
              </w:rPr>
              <w:t>需要考虑，建筑业主直接控制的制冷设备的冷媒逸散排放</w:t>
            </w:r>
            <w:r>
              <w:rPr>
                <w:rFonts w:hint="eastAsia" w:ascii="宋体" w:hAnsi="宋体" w:eastAsia="宋体" w:cs="Arial"/>
                <w:sz w:val="18"/>
                <w:szCs w:val="18"/>
              </w:rPr>
              <w:t>、</w:t>
            </w:r>
            <w:r>
              <w:rPr>
                <w:rFonts w:ascii="宋体" w:hAnsi="宋体" w:eastAsia="宋体" w:cs="Arial"/>
                <w:sz w:val="18"/>
                <w:szCs w:val="18"/>
              </w:rPr>
              <w:t>建筑内灭火器内温室气体逸散排放</w:t>
            </w:r>
          </w:p>
        </w:tc>
      </w:tr>
      <w:tr w14:paraId="3DD19487">
        <w:tblPrEx>
          <w:tblBorders>
            <w:top w:val="single" w:color="auto" w:sz="8" w:space="0"/>
            <w:left w:val="single" w:color="auto" w:sz="8" w:space="0"/>
            <w:bottom w:val="single" w:color="auto" w:sz="8" w:space="0"/>
            <w:right w:val="single" w:color="auto" w:sz="8" w:space="0"/>
            <w:insideH w:val="single" w:color="DEE0E3" w:sz="2" w:space="0"/>
            <w:insideV w:val="single" w:color="DEE0E3" w:sz="2" w:space="0"/>
          </w:tblBorders>
          <w:tblCellMar>
            <w:top w:w="0" w:type="dxa"/>
            <w:left w:w="10" w:type="dxa"/>
            <w:bottom w:w="0" w:type="dxa"/>
            <w:right w:w="10" w:type="dxa"/>
          </w:tblCellMar>
        </w:tblPrEx>
        <w:tc>
          <w:tcPr>
            <w:tcW w:w="1035" w:type="dxa"/>
            <w:tcBorders>
              <w:top w:val="single" w:color="auto" w:sz="4" w:space="0"/>
              <w:bottom w:val="single" w:color="auto" w:sz="8" w:space="0"/>
              <w:right w:val="single" w:color="auto" w:sz="4" w:space="0"/>
            </w:tcBorders>
            <w:tcMar>
              <w:top w:w="60" w:type="dxa"/>
              <w:left w:w="120" w:type="dxa"/>
              <w:bottom w:w="30" w:type="dxa"/>
              <w:right w:w="120" w:type="dxa"/>
            </w:tcMar>
            <w:vAlign w:val="center"/>
          </w:tcPr>
          <w:p w14:paraId="6034A380">
            <w:pPr>
              <w:spacing w:line="288" w:lineRule="auto"/>
              <w:rPr>
                <w:rFonts w:ascii="宋体" w:hAnsi="宋体" w:eastAsia="宋体"/>
                <w:sz w:val="18"/>
                <w:szCs w:val="18"/>
              </w:rPr>
            </w:pPr>
            <w:r>
              <w:rPr>
                <w:rFonts w:ascii="宋体" w:hAnsi="宋体" w:eastAsia="宋体" w:cs="Arial"/>
                <w:sz w:val="18"/>
                <w:szCs w:val="18"/>
              </w:rPr>
              <w:t>范围2</w:t>
            </w:r>
          </w:p>
        </w:tc>
        <w:tc>
          <w:tcPr>
            <w:tcW w:w="1035" w:type="dxa"/>
            <w:tcBorders>
              <w:top w:val="single" w:color="auto" w:sz="4" w:space="0"/>
              <w:left w:val="single" w:color="auto" w:sz="4" w:space="0"/>
              <w:bottom w:val="single" w:color="auto" w:sz="8" w:space="0"/>
              <w:right w:val="single" w:color="auto" w:sz="4" w:space="0"/>
            </w:tcBorders>
            <w:tcMar>
              <w:top w:w="60" w:type="dxa"/>
              <w:left w:w="120" w:type="dxa"/>
              <w:bottom w:w="30" w:type="dxa"/>
              <w:right w:w="120" w:type="dxa"/>
            </w:tcMar>
            <w:vAlign w:val="center"/>
          </w:tcPr>
          <w:p w14:paraId="5E7160AE">
            <w:pPr>
              <w:spacing w:line="288" w:lineRule="auto"/>
              <w:rPr>
                <w:rFonts w:ascii="宋体" w:hAnsi="宋体" w:eastAsia="宋体"/>
                <w:sz w:val="18"/>
                <w:szCs w:val="18"/>
              </w:rPr>
            </w:pPr>
            <w:r>
              <w:rPr>
                <w:rFonts w:ascii="宋体" w:hAnsi="宋体" w:eastAsia="宋体" w:cs="Arial"/>
                <w:sz w:val="18"/>
                <w:szCs w:val="18"/>
              </w:rPr>
              <w:t>外购能源</w:t>
            </w:r>
          </w:p>
        </w:tc>
        <w:tc>
          <w:tcPr>
            <w:tcW w:w="6981" w:type="dxa"/>
            <w:tcBorders>
              <w:top w:val="single" w:color="auto" w:sz="4" w:space="0"/>
              <w:left w:val="single" w:color="auto" w:sz="4" w:space="0"/>
              <w:bottom w:val="single" w:color="auto" w:sz="8" w:space="0"/>
            </w:tcBorders>
            <w:tcMar>
              <w:top w:w="60" w:type="dxa"/>
              <w:left w:w="120" w:type="dxa"/>
              <w:bottom w:w="30" w:type="dxa"/>
              <w:right w:w="120" w:type="dxa"/>
            </w:tcMar>
            <w:vAlign w:val="center"/>
          </w:tcPr>
          <w:p w14:paraId="3E96E4BA">
            <w:pPr>
              <w:spacing w:line="288" w:lineRule="auto"/>
              <w:rPr>
                <w:rFonts w:ascii="宋体" w:hAnsi="宋体" w:eastAsia="宋体"/>
                <w:sz w:val="18"/>
                <w:szCs w:val="18"/>
              </w:rPr>
            </w:pPr>
            <w:r>
              <w:rPr>
                <w:rFonts w:ascii="宋体" w:hAnsi="宋体" w:eastAsia="宋体" w:cs="Arial"/>
                <w:sz w:val="18"/>
                <w:szCs w:val="18"/>
              </w:rPr>
              <w:t>需要考虑，建筑</w:t>
            </w:r>
            <w:r>
              <w:rPr>
                <w:rFonts w:hint="eastAsia" w:ascii="宋体" w:hAnsi="宋体" w:eastAsia="宋体" w:cs="Arial"/>
                <w:sz w:val="18"/>
                <w:szCs w:val="18"/>
              </w:rPr>
              <w:t>内建筑业主自身运营区域（公共区域与业主使用区域）的</w:t>
            </w:r>
            <w:r>
              <w:rPr>
                <w:rFonts w:ascii="宋体" w:hAnsi="宋体" w:eastAsia="宋体" w:cs="Arial"/>
                <w:sz w:val="18"/>
                <w:szCs w:val="18"/>
              </w:rPr>
              <w:t>外购电力、热力、冷能、蒸汽所对应的</w:t>
            </w:r>
            <w:r>
              <w:rPr>
                <w:rFonts w:hint="eastAsia" w:ascii="宋体" w:hAnsi="宋体" w:eastAsia="宋体" w:cs="Arial"/>
                <w:sz w:val="18"/>
                <w:szCs w:val="18"/>
              </w:rPr>
              <w:t>碳</w:t>
            </w:r>
            <w:r>
              <w:rPr>
                <w:rFonts w:ascii="宋体" w:hAnsi="宋体" w:eastAsia="宋体" w:cs="Arial"/>
                <w:sz w:val="18"/>
                <w:szCs w:val="18"/>
              </w:rPr>
              <w:t>排放</w:t>
            </w:r>
          </w:p>
        </w:tc>
      </w:tr>
    </w:tbl>
    <w:p w14:paraId="0F3B64EE">
      <w:pPr>
        <w:spacing w:before="240" w:after="120" w:line="288" w:lineRule="auto"/>
        <w:ind w:firstLine="420"/>
        <w:jc w:val="left"/>
        <w:rPr>
          <w:rFonts w:ascii="宋体" w:hAnsi="宋体" w:eastAsia="宋体" w:cs="Arial"/>
          <w:szCs w:val="21"/>
        </w:rPr>
      </w:pPr>
      <w:r>
        <w:rPr>
          <w:rFonts w:ascii="宋体" w:hAnsi="宋体" w:eastAsia="宋体" w:cs="Arial"/>
          <w:szCs w:val="21"/>
        </w:rPr>
        <w:t>商业办公建筑物业运营范围3排放源主要参考《企业价值链（范围3）核算与报告标准》。建筑业主范围3具体事项规定见表中“建筑业主碳排放核算的处理方式”以及“是否包含租户”两列规定。</w:t>
      </w:r>
    </w:p>
    <w:p w14:paraId="1F5C89DB">
      <w:pPr>
        <w:spacing w:before="120" w:after="120" w:line="288" w:lineRule="auto"/>
        <w:jc w:val="center"/>
        <w:rPr>
          <w:rFonts w:ascii="黑体" w:hAnsi="黑体" w:eastAsia="黑体" w:cs="Arial"/>
          <w:bCs/>
          <w:szCs w:val="21"/>
        </w:rPr>
      </w:pPr>
      <w:r>
        <w:rPr>
          <w:rFonts w:hint="eastAsia" w:ascii="黑体" w:hAnsi="黑体" w:eastAsia="黑体" w:cs="Arial"/>
          <w:bCs/>
          <w:szCs w:val="21"/>
        </w:rPr>
        <w:t xml:space="preserve">表A1 </w:t>
      </w:r>
      <w:r>
        <w:rPr>
          <w:rFonts w:ascii="黑体" w:hAnsi="黑体" w:eastAsia="黑体" w:cs="Arial"/>
          <w:bCs/>
          <w:szCs w:val="21"/>
        </w:rPr>
        <w:t>商业办公建筑业主范围1&amp;2碳排放界定和核算</w:t>
      </w:r>
    </w:p>
    <w:tbl>
      <w:tblPr>
        <w:tblStyle w:val="10"/>
        <w:tblW w:w="0" w:type="auto"/>
        <w:tblInd w:w="1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390"/>
        <w:gridCol w:w="510"/>
        <w:gridCol w:w="1794"/>
        <w:gridCol w:w="4819"/>
        <w:gridCol w:w="1418"/>
      </w:tblGrid>
      <w:tr w14:paraId="7CBFA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2694" w:type="dxa"/>
            <w:gridSpan w:val="3"/>
            <w:tcMar>
              <w:top w:w="60" w:type="dxa"/>
              <w:left w:w="120" w:type="dxa"/>
              <w:bottom w:w="30" w:type="dxa"/>
              <w:right w:w="120" w:type="dxa"/>
            </w:tcMar>
          </w:tcPr>
          <w:p w14:paraId="01F9A8D8">
            <w:pPr>
              <w:spacing w:line="288" w:lineRule="auto"/>
              <w:jc w:val="center"/>
              <w:rPr>
                <w:rFonts w:ascii="宋体" w:hAnsi="宋体" w:eastAsia="宋体"/>
                <w:sz w:val="18"/>
                <w:szCs w:val="18"/>
              </w:rPr>
            </w:pPr>
            <w:r>
              <w:rPr>
                <w:rFonts w:ascii="宋体" w:hAnsi="宋体" w:eastAsia="宋体" w:cs="Arial"/>
                <w:sz w:val="18"/>
                <w:szCs w:val="18"/>
              </w:rPr>
              <w:t>范围3排放</w:t>
            </w:r>
            <w:r>
              <w:rPr>
                <w:rFonts w:hint="eastAsia" w:ascii="宋体" w:hAnsi="宋体" w:eastAsia="宋体" w:cs="Arial"/>
                <w:sz w:val="18"/>
                <w:szCs w:val="18"/>
              </w:rPr>
              <w:t>类别</w:t>
            </w:r>
          </w:p>
        </w:tc>
        <w:tc>
          <w:tcPr>
            <w:tcW w:w="4819" w:type="dxa"/>
            <w:tcMar>
              <w:top w:w="60" w:type="dxa"/>
              <w:left w:w="120" w:type="dxa"/>
              <w:bottom w:w="30" w:type="dxa"/>
              <w:right w:w="120" w:type="dxa"/>
            </w:tcMar>
          </w:tcPr>
          <w:p w14:paraId="629E9984">
            <w:pPr>
              <w:spacing w:line="288" w:lineRule="auto"/>
              <w:jc w:val="center"/>
              <w:rPr>
                <w:rFonts w:ascii="宋体" w:hAnsi="宋体" w:eastAsia="宋体"/>
                <w:sz w:val="18"/>
                <w:szCs w:val="18"/>
              </w:rPr>
            </w:pPr>
            <w:r>
              <w:rPr>
                <w:rFonts w:ascii="宋体" w:hAnsi="宋体" w:eastAsia="宋体" w:cs="Arial"/>
                <w:sz w:val="18"/>
                <w:szCs w:val="18"/>
              </w:rPr>
              <w:t>建筑业主碳排放核算的处理方式</w:t>
            </w:r>
          </w:p>
        </w:tc>
        <w:tc>
          <w:tcPr>
            <w:tcW w:w="1418" w:type="dxa"/>
            <w:tcMar>
              <w:top w:w="60" w:type="dxa"/>
              <w:left w:w="120" w:type="dxa"/>
              <w:bottom w:w="30" w:type="dxa"/>
              <w:right w:w="120" w:type="dxa"/>
            </w:tcMar>
          </w:tcPr>
          <w:p w14:paraId="79744673">
            <w:pPr>
              <w:spacing w:line="288" w:lineRule="auto"/>
              <w:jc w:val="center"/>
              <w:rPr>
                <w:rFonts w:ascii="宋体" w:hAnsi="宋体" w:eastAsia="宋体"/>
                <w:sz w:val="18"/>
                <w:szCs w:val="18"/>
              </w:rPr>
            </w:pPr>
            <w:r>
              <w:rPr>
                <w:rFonts w:ascii="宋体" w:hAnsi="宋体" w:eastAsia="宋体" w:cs="Arial"/>
                <w:sz w:val="18"/>
                <w:szCs w:val="18"/>
              </w:rPr>
              <w:t>是否包含租户</w:t>
            </w:r>
          </w:p>
        </w:tc>
      </w:tr>
      <w:tr w14:paraId="0730B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restart"/>
            <w:tcMar>
              <w:top w:w="60" w:type="dxa"/>
              <w:left w:w="120" w:type="dxa"/>
              <w:bottom w:w="30" w:type="dxa"/>
              <w:right w:w="120" w:type="dxa"/>
            </w:tcMar>
          </w:tcPr>
          <w:p w14:paraId="5E78E47C">
            <w:pPr>
              <w:spacing w:line="288" w:lineRule="auto"/>
              <w:jc w:val="center"/>
              <w:rPr>
                <w:rFonts w:ascii="宋体" w:hAnsi="宋体" w:eastAsia="宋体"/>
                <w:sz w:val="18"/>
                <w:szCs w:val="18"/>
              </w:rPr>
            </w:pPr>
            <w:r>
              <w:rPr>
                <w:rFonts w:ascii="宋体" w:hAnsi="宋体" w:eastAsia="宋体" w:cs="Arial"/>
                <w:sz w:val="18"/>
                <w:szCs w:val="18"/>
              </w:rPr>
              <w:t>上游</w:t>
            </w:r>
          </w:p>
        </w:tc>
        <w:tc>
          <w:tcPr>
            <w:tcW w:w="510" w:type="dxa"/>
            <w:tcMar>
              <w:top w:w="60" w:type="dxa"/>
              <w:left w:w="120" w:type="dxa"/>
              <w:bottom w:w="30" w:type="dxa"/>
              <w:right w:w="120" w:type="dxa"/>
            </w:tcMar>
          </w:tcPr>
          <w:p w14:paraId="5EE23FE3">
            <w:pPr>
              <w:spacing w:line="288" w:lineRule="auto"/>
              <w:jc w:val="center"/>
              <w:rPr>
                <w:rFonts w:ascii="宋体" w:hAnsi="宋体" w:eastAsia="宋体"/>
                <w:sz w:val="18"/>
                <w:szCs w:val="18"/>
              </w:rPr>
            </w:pPr>
            <w:r>
              <w:rPr>
                <w:rFonts w:ascii="宋体" w:hAnsi="宋体" w:eastAsia="宋体" w:cs="Arial"/>
                <w:sz w:val="18"/>
                <w:szCs w:val="18"/>
              </w:rPr>
              <w:t>1</w:t>
            </w:r>
          </w:p>
        </w:tc>
        <w:tc>
          <w:tcPr>
            <w:tcW w:w="1794" w:type="dxa"/>
            <w:tcMar>
              <w:top w:w="60" w:type="dxa"/>
              <w:left w:w="120" w:type="dxa"/>
              <w:bottom w:w="30" w:type="dxa"/>
              <w:right w:w="120" w:type="dxa"/>
            </w:tcMar>
          </w:tcPr>
          <w:p w14:paraId="7C391C79">
            <w:pPr>
              <w:spacing w:line="288" w:lineRule="auto"/>
              <w:jc w:val="left"/>
              <w:rPr>
                <w:rFonts w:ascii="宋体" w:hAnsi="宋体" w:eastAsia="宋体"/>
                <w:sz w:val="18"/>
                <w:szCs w:val="18"/>
              </w:rPr>
            </w:pPr>
            <w:r>
              <w:rPr>
                <w:rFonts w:ascii="宋体" w:hAnsi="宋体" w:eastAsia="宋体" w:cs="Arial"/>
                <w:sz w:val="18"/>
                <w:szCs w:val="18"/>
              </w:rPr>
              <w:t>外购商品和服务</w:t>
            </w:r>
          </w:p>
        </w:tc>
        <w:tc>
          <w:tcPr>
            <w:tcW w:w="4819" w:type="dxa"/>
            <w:tcMar>
              <w:top w:w="60" w:type="dxa"/>
              <w:left w:w="120" w:type="dxa"/>
              <w:bottom w:w="30" w:type="dxa"/>
              <w:right w:w="120" w:type="dxa"/>
            </w:tcMar>
          </w:tcPr>
          <w:p w14:paraId="2CB49844">
            <w:pPr>
              <w:spacing w:line="288" w:lineRule="auto"/>
              <w:jc w:val="left"/>
              <w:rPr>
                <w:rFonts w:ascii="宋体" w:hAnsi="宋体" w:eastAsia="宋体"/>
                <w:sz w:val="18"/>
                <w:szCs w:val="18"/>
              </w:rPr>
            </w:pPr>
            <w:r>
              <w:rPr>
                <w:rFonts w:ascii="宋体" w:hAnsi="宋体" w:eastAsia="宋体" w:cs="Arial"/>
                <w:sz w:val="18"/>
                <w:szCs w:val="18"/>
              </w:rPr>
              <w:t>需要考虑，维持物业运营的外购耗材，包括办公耗材、建筑运维耗材从摇篮到大门的碳足迹</w:t>
            </w:r>
          </w:p>
        </w:tc>
        <w:tc>
          <w:tcPr>
            <w:tcW w:w="1418" w:type="dxa"/>
            <w:tcMar>
              <w:top w:w="60" w:type="dxa"/>
              <w:left w:w="120" w:type="dxa"/>
              <w:bottom w:w="30" w:type="dxa"/>
              <w:right w:w="120" w:type="dxa"/>
            </w:tcMar>
            <w:vAlign w:val="center"/>
          </w:tcPr>
          <w:p w14:paraId="2EF4FA3D">
            <w:pPr>
              <w:spacing w:line="288" w:lineRule="auto"/>
              <w:jc w:val="center"/>
              <w:rPr>
                <w:rFonts w:ascii="宋体" w:hAnsi="宋体" w:eastAsia="宋体"/>
                <w:sz w:val="18"/>
                <w:szCs w:val="18"/>
              </w:rPr>
            </w:pPr>
            <w:r>
              <w:rPr>
                <w:rFonts w:ascii="宋体" w:hAnsi="宋体" w:eastAsia="宋体" w:cs="Arial"/>
                <w:sz w:val="18"/>
                <w:szCs w:val="18"/>
              </w:rPr>
              <w:t>不包含</w:t>
            </w:r>
          </w:p>
        </w:tc>
      </w:tr>
      <w:tr w14:paraId="10F46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722D7545">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54F8D280">
            <w:pPr>
              <w:spacing w:line="288" w:lineRule="auto"/>
              <w:jc w:val="center"/>
              <w:rPr>
                <w:rFonts w:ascii="宋体" w:hAnsi="宋体" w:eastAsia="宋体"/>
                <w:sz w:val="18"/>
                <w:szCs w:val="18"/>
              </w:rPr>
            </w:pPr>
            <w:r>
              <w:rPr>
                <w:rFonts w:ascii="宋体" w:hAnsi="宋体" w:eastAsia="宋体" w:cs="Arial"/>
                <w:sz w:val="18"/>
                <w:szCs w:val="18"/>
              </w:rPr>
              <w:t>2</w:t>
            </w:r>
          </w:p>
        </w:tc>
        <w:tc>
          <w:tcPr>
            <w:tcW w:w="1794" w:type="dxa"/>
            <w:tcMar>
              <w:top w:w="60" w:type="dxa"/>
              <w:left w:w="120" w:type="dxa"/>
              <w:bottom w:w="30" w:type="dxa"/>
              <w:right w:w="120" w:type="dxa"/>
            </w:tcMar>
          </w:tcPr>
          <w:p w14:paraId="68B04AD8">
            <w:pPr>
              <w:spacing w:line="288" w:lineRule="auto"/>
              <w:jc w:val="left"/>
              <w:rPr>
                <w:rFonts w:ascii="宋体" w:hAnsi="宋体" w:eastAsia="宋体"/>
                <w:sz w:val="18"/>
                <w:szCs w:val="18"/>
              </w:rPr>
            </w:pPr>
            <w:r>
              <w:rPr>
                <w:rFonts w:ascii="宋体" w:hAnsi="宋体" w:eastAsia="宋体" w:cs="Arial"/>
                <w:sz w:val="18"/>
                <w:szCs w:val="18"/>
              </w:rPr>
              <w:t>资本商品（耐用品）</w:t>
            </w:r>
          </w:p>
        </w:tc>
        <w:tc>
          <w:tcPr>
            <w:tcW w:w="4819" w:type="dxa"/>
            <w:tcMar>
              <w:top w:w="60" w:type="dxa"/>
              <w:left w:w="120" w:type="dxa"/>
              <w:bottom w:w="30" w:type="dxa"/>
              <w:right w:w="120" w:type="dxa"/>
            </w:tcMar>
          </w:tcPr>
          <w:p w14:paraId="4E343236">
            <w:pPr>
              <w:spacing w:line="288" w:lineRule="auto"/>
              <w:jc w:val="left"/>
              <w:rPr>
                <w:rFonts w:ascii="宋体" w:hAnsi="宋体" w:eastAsia="宋体"/>
                <w:sz w:val="18"/>
                <w:szCs w:val="18"/>
              </w:rPr>
            </w:pPr>
            <w:r>
              <w:rPr>
                <w:rFonts w:ascii="宋体" w:hAnsi="宋体" w:eastAsia="宋体" w:cs="Arial"/>
                <w:sz w:val="18"/>
                <w:szCs w:val="18"/>
              </w:rPr>
              <w:t>需要考虑，维持物业运营过程更新的耐用建材、大型设备等固定资产从摇篮到大门的碳足迹</w:t>
            </w:r>
          </w:p>
        </w:tc>
        <w:tc>
          <w:tcPr>
            <w:tcW w:w="1418" w:type="dxa"/>
            <w:tcMar>
              <w:top w:w="60" w:type="dxa"/>
              <w:left w:w="120" w:type="dxa"/>
              <w:bottom w:w="30" w:type="dxa"/>
              <w:right w:w="120" w:type="dxa"/>
            </w:tcMar>
            <w:vAlign w:val="center"/>
          </w:tcPr>
          <w:p w14:paraId="49D87B06">
            <w:pPr>
              <w:spacing w:line="288" w:lineRule="auto"/>
              <w:jc w:val="center"/>
              <w:rPr>
                <w:rFonts w:ascii="宋体" w:hAnsi="宋体" w:eastAsia="宋体"/>
                <w:sz w:val="18"/>
                <w:szCs w:val="18"/>
              </w:rPr>
            </w:pPr>
            <w:r>
              <w:rPr>
                <w:rFonts w:ascii="宋体" w:hAnsi="宋体" w:eastAsia="宋体" w:cs="Arial"/>
                <w:sz w:val="18"/>
                <w:szCs w:val="18"/>
              </w:rPr>
              <w:t>不包含</w:t>
            </w:r>
          </w:p>
        </w:tc>
      </w:tr>
      <w:tr w14:paraId="6FB6E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0B3FF0E8">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2F09B34C">
            <w:pPr>
              <w:spacing w:line="288" w:lineRule="auto"/>
              <w:jc w:val="center"/>
              <w:rPr>
                <w:rFonts w:ascii="宋体" w:hAnsi="宋体" w:eastAsia="宋体"/>
                <w:sz w:val="18"/>
                <w:szCs w:val="18"/>
              </w:rPr>
            </w:pPr>
            <w:r>
              <w:rPr>
                <w:rFonts w:ascii="宋体" w:hAnsi="宋体" w:eastAsia="宋体" w:cs="Arial"/>
                <w:sz w:val="18"/>
                <w:szCs w:val="18"/>
              </w:rPr>
              <w:t>3</w:t>
            </w:r>
          </w:p>
        </w:tc>
        <w:tc>
          <w:tcPr>
            <w:tcW w:w="1794" w:type="dxa"/>
            <w:tcMar>
              <w:top w:w="60" w:type="dxa"/>
              <w:left w:w="120" w:type="dxa"/>
              <w:bottom w:w="30" w:type="dxa"/>
              <w:right w:w="120" w:type="dxa"/>
            </w:tcMar>
          </w:tcPr>
          <w:p w14:paraId="22303B3C">
            <w:pPr>
              <w:spacing w:line="288" w:lineRule="auto"/>
              <w:jc w:val="left"/>
              <w:rPr>
                <w:rFonts w:ascii="宋体" w:hAnsi="宋体" w:eastAsia="宋体"/>
                <w:sz w:val="18"/>
                <w:szCs w:val="18"/>
              </w:rPr>
            </w:pPr>
            <w:r>
              <w:rPr>
                <w:rFonts w:ascii="宋体" w:hAnsi="宋体" w:eastAsia="宋体" w:cs="Arial"/>
                <w:sz w:val="18"/>
                <w:szCs w:val="18"/>
                <w:shd w:val="clear" w:color="auto" w:fill="FFF67A"/>
              </w:rPr>
              <w:t>燃料能源相关活动</w:t>
            </w:r>
          </w:p>
        </w:tc>
        <w:tc>
          <w:tcPr>
            <w:tcW w:w="4819" w:type="dxa"/>
            <w:tcMar>
              <w:top w:w="60" w:type="dxa"/>
              <w:left w:w="120" w:type="dxa"/>
              <w:bottom w:w="30" w:type="dxa"/>
              <w:right w:w="120" w:type="dxa"/>
            </w:tcMar>
          </w:tcPr>
          <w:p w14:paraId="2F5D315C">
            <w:pPr>
              <w:spacing w:line="288" w:lineRule="auto"/>
              <w:jc w:val="left"/>
              <w:rPr>
                <w:rFonts w:ascii="宋体" w:hAnsi="宋体" w:eastAsia="宋体"/>
                <w:sz w:val="18"/>
                <w:szCs w:val="18"/>
              </w:rPr>
            </w:pPr>
            <w:r>
              <w:rPr>
                <w:rFonts w:ascii="宋体" w:hAnsi="宋体" w:eastAsia="宋体" w:cs="Arial"/>
                <w:sz w:val="18"/>
                <w:szCs w:val="18"/>
                <w:shd w:val="clear" w:color="auto" w:fill="FFF67A"/>
              </w:rPr>
              <w:t>需要考虑，外购电力线损、外购热力的管网损耗等</w:t>
            </w:r>
          </w:p>
        </w:tc>
        <w:tc>
          <w:tcPr>
            <w:tcW w:w="1418" w:type="dxa"/>
            <w:tcMar>
              <w:top w:w="60" w:type="dxa"/>
              <w:left w:w="120" w:type="dxa"/>
              <w:bottom w:w="30" w:type="dxa"/>
              <w:right w:w="120" w:type="dxa"/>
            </w:tcMar>
            <w:vAlign w:val="center"/>
          </w:tcPr>
          <w:p w14:paraId="253B519E">
            <w:pPr>
              <w:spacing w:line="288" w:lineRule="auto"/>
              <w:jc w:val="center"/>
              <w:rPr>
                <w:rFonts w:ascii="宋体" w:hAnsi="宋体" w:eastAsia="宋体"/>
                <w:sz w:val="18"/>
                <w:szCs w:val="18"/>
              </w:rPr>
            </w:pPr>
            <w:r>
              <w:rPr>
                <w:rFonts w:ascii="宋体" w:hAnsi="宋体" w:eastAsia="宋体" w:cs="Arial"/>
                <w:sz w:val="18"/>
                <w:szCs w:val="18"/>
              </w:rPr>
              <w:t>不包含</w:t>
            </w:r>
          </w:p>
        </w:tc>
      </w:tr>
      <w:tr w14:paraId="2FE9C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55DEFB32">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6657A1FA">
            <w:pPr>
              <w:spacing w:line="288" w:lineRule="auto"/>
              <w:jc w:val="center"/>
              <w:rPr>
                <w:rFonts w:ascii="宋体" w:hAnsi="宋体" w:eastAsia="宋体"/>
                <w:sz w:val="18"/>
                <w:szCs w:val="18"/>
              </w:rPr>
            </w:pPr>
            <w:r>
              <w:rPr>
                <w:rFonts w:ascii="宋体" w:hAnsi="宋体" w:eastAsia="宋体" w:cs="Arial"/>
                <w:sz w:val="18"/>
                <w:szCs w:val="18"/>
              </w:rPr>
              <w:t>4</w:t>
            </w:r>
          </w:p>
        </w:tc>
        <w:tc>
          <w:tcPr>
            <w:tcW w:w="1794" w:type="dxa"/>
            <w:tcMar>
              <w:top w:w="60" w:type="dxa"/>
              <w:left w:w="120" w:type="dxa"/>
              <w:bottom w:w="30" w:type="dxa"/>
              <w:right w:w="120" w:type="dxa"/>
            </w:tcMar>
          </w:tcPr>
          <w:p w14:paraId="4AEDD47A">
            <w:pPr>
              <w:spacing w:line="288" w:lineRule="auto"/>
              <w:jc w:val="left"/>
              <w:rPr>
                <w:rFonts w:ascii="宋体" w:hAnsi="宋体" w:eastAsia="宋体"/>
                <w:sz w:val="18"/>
                <w:szCs w:val="18"/>
              </w:rPr>
            </w:pPr>
            <w:r>
              <w:rPr>
                <w:rFonts w:ascii="宋体" w:hAnsi="宋体" w:eastAsia="宋体" w:cs="Arial"/>
                <w:sz w:val="18"/>
                <w:szCs w:val="18"/>
              </w:rPr>
              <w:t>上游运输和配送</w:t>
            </w:r>
          </w:p>
        </w:tc>
        <w:tc>
          <w:tcPr>
            <w:tcW w:w="4819" w:type="dxa"/>
            <w:tcMar>
              <w:top w:w="60" w:type="dxa"/>
              <w:left w:w="120" w:type="dxa"/>
              <w:bottom w:w="30" w:type="dxa"/>
              <w:right w:w="120" w:type="dxa"/>
            </w:tcMar>
          </w:tcPr>
          <w:p w14:paraId="20FD324D">
            <w:pPr>
              <w:spacing w:line="288" w:lineRule="auto"/>
              <w:jc w:val="left"/>
              <w:rPr>
                <w:rFonts w:ascii="宋体" w:hAnsi="宋体" w:eastAsia="宋体"/>
                <w:sz w:val="18"/>
                <w:szCs w:val="18"/>
              </w:rPr>
            </w:pPr>
            <w:r>
              <w:rPr>
                <w:rFonts w:ascii="宋体" w:hAnsi="宋体" w:eastAsia="宋体" w:cs="Arial"/>
                <w:sz w:val="18"/>
                <w:szCs w:val="18"/>
              </w:rPr>
              <w:t>不需要考虑（耗材运输和配送过程碳足迹，已经包含在外购商品和服务碳排放中）</w:t>
            </w:r>
          </w:p>
        </w:tc>
        <w:tc>
          <w:tcPr>
            <w:tcW w:w="1418" w:type="dxa"/>
            <w:tcMar>
              <w:top w:w="60" w:type="dxa"/>
              <w:left w:w="120" w:type="dxa"/>
              <w:bottom w:w="30" w:type="dxa"/>
              <w:right w:w="120" w:type="dxa"/>
            </w:tcMar>
            <w:vAlign w:val="center"/>
          </w:tcPr>
          <w:p w14:paraId="2C7F6F9E">
            <w:pPr>
              <w:spacing w:line="288" w:lineRule="auto"/>
              <w:jc w:val="center"/>
              <w:rPr>
                <w:rFonts w:ascii="宋体" w:hAnsi="宋体" w:eastAsia="宋体"/>
                <w:sz w:val="18"/>
                <w:szCs w:val="18"/>
              </w:rPr>
            </w:pPr>
            <w:r>
              <w:rPr>
                <w:rFonts w:hint="eastAsia" w:ascii="宋体" w:hAnsi="宋体" w:eastAsia="宋体"/>
                <w:sz w:val="18"/>
                <w:szCs w:val="18"/>
              </w:rPr>
              <w:t>/</w:t>
            </w:r>
          </w:p>
        </w:tc>
      </w:tr>
      <w:tr w14:paraId="1B45F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3704C340">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4CC33EF3">
            <w:pPr>
              <w:spacing w:line="288" w:lineRule="auto"/>
              <w:jc w:val="center"/>
              <w:rPr>
                <w:rFonts w:ascii="宋体" w:hAnsi="宋体" w:eastAsia="宋体"/>
                <w:sz w:val="18"/>
                <w:szCs w:val="18"/>
              </w:rPr>
            </w:pPr>
            <w:r>
              <w:rPr>
                <w:rFonts w:ascii="宋体" w:hAnsi="宋体" w:eastAsia="宋体" w:cs="Arial"/>
                <w:sz w:val="18"/>
                <w:szCs w:val="18"/>
              </w:rPr>
              <w:t>5</w:t>
            </w:r>
          </w:p>
        </w:tc>
        <w:tc>
          <w:tcPr>
            <w:tcW w:w="1794" w:type="dxa"/>
            <w:tcMar>
              <w:top w:w="60" w:type="dxa"/>
              <w:left w:w="120" w:type="dxa"/>
              <w:bottom w:w="30" w:type="dxa"/>
              <w:right w:w="120" w:type="dxa"/>
            </w:tcMar>
          </w:tcPr>
          <w:p w14:paraId="75FBAB45">
            <w:pPr>
              <w:spacing w:line="288" w:lineRule="auto"/>
              <w:jc w:val="left"/>
              <w:rPr>
                <w:rFonts w:ascii="宋体" w:hAnsi="宋体" w:eastAsia="宋体"/>
                <w:sz w:val="18"/>
                <w:szCs w:val="18"/>
              </w:rPr>
            </w:pPr>
            <w:r>
              <w:rPr>
                <w:rFonts w:ascii="宋体" w:hAnsi="宋体" w:eastAsia="宋体" w:cs="Arial"/>
                <w:sz w:val="18"/>
                <w:szCs w:val="18"/>
              </w:rPr>
              <w:t>运营产生废弃物处置</w:t>
            </w:r>
          </w:p>
        </w:tc>
        <w:tc>
          <w:tcPr>
            <w:tcW w:w="4819" w:type="dxa"/>
            <w:tcMar>
              <w:top w:w="60" w:type="dxa"/>
              <w:left w:w="120" w:type="dxa"/>
              <w:bottom w:w="30" w:type="dxa"/>
              <w:right w:w="120" w:type="dxa"/>
            </w:tcMar>
          </w:tcPr>
          <w:p w14:paraId="52E66363">
            <w:pPr>
              <w:spacing w:line="288" w:lineRule="auto"/>
              <w:jc w:val="left"/>
              <w:rPr>
                <w:rFonts w:ascii="宋体" w:hAnsi="宋体" w:eastAsia="宋体"/>
                <w:sz w:val="18"/>
                <w:szCs w:val="18"/>
              </w:rPr>
            </w:pPr>
            <w:r>
              <w:rPr>
                <w:rFonts w:ascii="宋体" w:hAnsi="宋体" w:eastAsia="宋体" w:cs="Arial"/>
                <w:sz w:val="18"/>
                <w:szCs w:val="18"/>
              </w:rPr>
              <w:t>需要考虑，维持物业运营所处置的固体废弃物（包含物业和租户产生的废弃物）在末端处置过程的碳排放</w:t>
            </w:r>
          </w:p>
        </w:tc>
        <w:tc>
          <w:tcPr>
            <w:tcW w:w="1418" w:type="dxa"/>
            <w:tcMar>
              <w:top w:w="60" w:type="dxa"/>
              <w:left w:w="120" w:type="dxa"/>
              <w:bottom w:w="30" w:type="dxa"/>
              <w:right w:w="120" w:type="dxa"/>
            </w:tcMar>
            <w:vAlign w:val="center"/>
          </w:tcPr>
          <w:p w14:paraId="6B7FA767">
            <w:pPr>
              <w:spacing w:line="288" w:lineRule="auto"/>
              <w:jc w:val="center"/>
              <w:rPr>
                <w:rFonts w:ascii="宋体" w:hAnsi="宋体" w:eastAsia="宋体"/>
                <w:sz w:val="18"/>
                <w:szCs w:val="18"/>
              </w:rPr>
            </w:pPr>
            <w:r>
              <w:rPr>
                <w:rFonts w:ascii="宋体" w:hAnsi="宋体" w:eastAsia="宋体" w:cs="Arial"/>
                <w:sz w:val="18"/>
                <w:szCs w:val="18"/>
              </w:rPr>
              <w:t>包含</w:t>
            </w:r>
          </w:p>
        </w:tc>
      </w:tr>
      <w:tr w14:paraId="4ED4D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6719E9E4">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682EAEFC">
            <w:pPr>
              <w:spacing w:line="288" w:lineRule="auto"/>
              <w:jc w:val="center"/>
              <w:rPr>
                <w:rFonts w:ascii="宋体" w:hAnsi="宋体" w:eastAsia="宋体"/>
                <w:sz w:val="18"/>
                <w:szCs w:val="18"/>
              </w:rPr>
            </w:pPr>
            <w:r>
              <w:rPr>
                <w:rFonts w:ascii="宋体" w:hAnsi="宋体" w:eastAsia="宋体" w:cs="Arial"/>
                <w:sz w:val="18"/>
                <w:szCs w:val="18"/>
              </w:rPr>
              <w:t>6</w:t>
            </w:r>
          </w:p>
        </w:tc>
        <w:tc>
          <w:tcPr>
            <w:tcW w:w="1794" w:type="dxa"/>
            <w:tcMar>
              <w:top w:w="60" w:type="dxa"/>
              <w:left w:w="120" w:type="dxa"/>
              <w:bottom w:w="30" w:type="dxa"/>
              <w:right w:w="120" w:type="dxa"/>
            </w:tcMar>
          </w:tcPr>
          <w:p w14:paraId="18D76160">
            <w:pPr>
              <w:spacing w:line="288" w:lineRule="auto"/>
              <w:jc w:val="left"/>
              <w:rPr>
                <w:rFonts w:ascii="宋体" w:hAnsi="宋体" w:eastAsia="宋体"/>
                <w:sz w:val="18"/>
                <w:szCs w:val="18"/>
              </w:rPr>
            </w:pPr>
            <w:r>
              <w:rPr>
                <w:rFonts w:ascii="宋体" w:hAnsi="宋体" w:eastAsia="宋体" w:cs="Arial"/>
                <w:sz w:val="18"/>
                <w:szCs w:val="18"/>
              </w:rPr>
              <w:t>商务差旅</w:t>
            </w:r>
          </w:p>
        </w:tc>
        <w:tc>
          <w:tcPr>
            <w:tcW w:w="4819" w:type="dxa"/>
            <w:tcMar>
              <w:top w:w="60" w:type="dxa"/>
              <w:left w:w="120" w:type="dxa"/>
              <w:bottom w:w="30" w:type="dxa"/>
              <w:right w:w="120" w:type="dxa"/>
            </w:tcMar>
          </w:tcPr>
          <w:p w14:paraId="5E2C5B80">
            <w:pPr>
              <w:spacing w:line="288" w:lineRule="auto"/>
              <w:jc w:val="left"/>
              <w:rPr>
                <w:rFonts w:ascii="宋体" w:hAnsi="宋体" w:eastAsia="宋体"/>
                <w:sz w:val="18"/>
                <w:szCs w:val="18"/>
              </w:rPr>
            </w:pPr>
            <w:r>
              <w:rPr>
                <w:rFonts w:ascii="宋体" w:hAnsi="宋体" w:eastAsia="宋体" w:cs="Arial"/>
                <w:sz w:val="18"/>
                <w:szCs w:val="18"/>
                <w:shd w:val="clear" w:color="auto" w:fill="FFF67A"/>
              </w:rPr>
              <w:t>需要考虑，仅限于物业员工商务差旅</w:t>
            </w:r>
          </w:p>
        </w:tc>
        <w:tc>
          <w:tcPr>
            <w:tcW w:w="1418" w:type="dxa"/>
            <w:tcMar>
              <w:top w:w="60" w:type="dxa"/>
              <w:left w:w="120" w:type="dxa"/>
              <w:bottom w:w="30" w:type="dxa"/>
              <w:right w:w="120" w:type="dxa"/>
            </w:tcMar>
            <w:vAlign w:val="center"/>
          </w:tcPr>
          <w:p w14:paraId="66BF2AAB">
            <w:pPr>
              <w:spacing w:line="288" w:lineRule="auto"/>
              <w:jc w:val="center"/>
              <w:rPr>
                <w:rFonts w:ascii="宋体" w:hAnsi="宋体" w:eastAsia="宋体"/>
                <w:sz w:val="18"/>
                <w:szCs w:val="18"/>
              </w:rPr>
            </w:pPr>
            <w:r>
              <w:rPr>
                <w:rFonts w:ascii="宋体" w:hAnsi="宋体" w:eastAsia="宋体" w:cs="Arial"/>
                <w:sz w:val="18"/>
                <w:szCs w:val="18"/>
              </w:rPr>
              <w:t>不包含</w:t>
            </w:r>
          </w:p>
        </w:tc>
      </w:tr>
      <w:tr w14:paraId="53CF3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55F8D2F9">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45C27C9D">
            <w:pPr>
              <w:spacing w:line="288" w:lineRule="auto"/>
              <w:jc w:val="center"/>
              <w:rPr>
                <w:rFonts w:ascii="宋体" w:hAnsi="宋体" w:eastAsia="宋体"/>
                <w:sz w:val="18"/>
                <w:szCs w:val="18"/>
              </w:rPr>
            </w:pPr>
            <w:r>
              <w:rPr>
                <w:rFonts w:ascii="宋体" w:hAnsi="宋体" w:eastAsia="宋体" w:cs="Arial"/>
                <w:sz w:val="18"/>
                <w:szCs w:val="18"/>
              </w:rPr>
              <w:t>7</w:t>
            </w:r>
          </w:p>
        </w:tc>
        <w:tc>
          <w:tcPr>
            <w:tcW w:w="1794" w:type="dxa"/>
            <w:tcMar>
              <w:top w:w="60" w:type="dxa"/>
              <w:left w:w="120" w:type="dxa"/>
              <w:bottom w:w="30" w:type="dxa"/>
              <w:right w:w="120" w:type="dxa"/>
            </w:tcMar>
          </w:tcPr>
          <w:p w14:paraId="3C99E269">
            <w:pPr>
              <w:spacing w:line="288" w:lineRule="auto"/>
              <w:jc w:val="left"/>
              <w:rPr>
                <w:rFonts w:ascii="宋体" w:hAnsi="宋体" w:eastAsia="宋体"/>
                <w:sz w:val="18"/>
                <w:szCs w:val="18"/>
              </w:rPr>
            </w:pPr>
            <w:r>
              <w:rPr>
                <w:rFonts w:ascii="宋体" w:hAnsi="宋体" w:eastAsia="宋体" w:cs="Arial"/>
                <w:sz w:val="18"/>
                <w:szCs w:val="18"/>
              </w:rPr>
              <w:t>员工通勤</w:t>
            </w:r>
          </w:p>
        </w:tc>
        <w:tc>
          <w:tcPr>
            <w:tcW w:w="4819" w:type="dxa"/>
            <w:tcMar>
              <w:top w:w="60" w:type="dxa"/>
              <w:left w:w="120" w:type="dxa"/>
              <w:bottom w:w="30" w:type="dxa"/>
              <w:right w:w="120" w:type="dxa"/>
            </w:tcMar>
          </w:tcPr>
          <w:p w14:paraId="001D36B5">
            <w:pPr>
              <w:spacing w:line="288" w:lineRule="auto"/>
              <w:jc w:val="left"/>
              <w:rPr>
                <w:rFonts w:ascii="宋体" w:hAnsi="宋体" w:eastAsia="宋体"/>
                <w:sz w:val="18"/>
                <w:szCs w:val="18"/>
              </w:rPr>
            </w:pPr>
            <w:r>
              <w:rPr>
                <w:rFonts w:ascii="宋体" w:hAnsi="宋体" w:eastAsia="宋体" w:cs="Arial"/>
                <w:sz w:val="18"/>
                <w:szCs w:val="18"/>
                <w:shd w:val="clear" w:color="auto" w:fill="FFF67A"/>
              </w:rPr>
              <w:t>需要考虑，仅限于物业员工通勤</w:t>
            </w:r>
          </w:p>
        </w:tc>
        <w:tc>
          <w:tcPr>
            <w:tcW w:w="1418" w:type="dxa"/>
            <w:tcMar>
              <w:top w:w="60" w:type="dxa"/>
              <w:left w:w="120" w:type="dxa"/>
              <w:bottom w:w="30" w:type="dxa"/>
              <w:right w:w="120" w:type="dxa"/>
            </w:tcMar>
            <w:vAlign w:val="center"/>
          </w:tcPr>
          <w:p w14:paraId="7BC87220">
            <w:pPr>
              <w:spacing w:line="288" w:lineRule="auto"/>
              <w:jc w:val="center"/>
              <w:rPr>
                <w:rFonts w:ascii="宋体" w:hAnsi="宋体" w:eastAsia="宋体"/>
                <w:sz w:val="18"/>
                <w:szCs w:val="18"/>
              </w:rPr>
            </w:pPr>
            <w:r>
              <w:rPr>
                <w:rFonts w:ascii="宋体" w:hAnsi="宋体" w:eastAsia="宋体" w:cs="Arial"/>
                <w:sz w:val="18"/>
                <w:szCs w:val="18"/>
              </w:rPr>
              <w:t>不包含</w:t>
            </w:r>
          </w:p>
        </w:tc>
      </w:tr>
      <w:tr w14:paraId="3E40F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4F200846">
            <w:pPr>
              <w:spacing w:line="288" w:lineRule="auto"/>
              <w:jc w:val="center"/>
              <w:rPr>
                <w:rFonts w:ascii="宋体" w:hAnsi="宋体" w:eastAsia="宋体"/>
                <w:sz w:val="18"/>
                <w:szCs w:val="18"/>
              </w:rPr>
            </w:pPr>
          </w:p>
        </w:tc>
        <w:tc>
          <w:tcPr>
            <w:tcW w:w="510" w:type="dxa"/>
            <w:tcMar>
              <w:top w:w="60" w:type="dxa"/>
              <w:left w:w="120" w:type="dxa"/>
              <w:bottom w:w="30" w:type="dxa"/>
              <w:right w:w="120" w:type="dxa"/>
            </w:tcMar>
          </w:tcPr>
          <w:p w14:paraId="1AEA335C">
            <w:pPr>
              <w:spacing w:line="288" w:lineRule="auto"/>
              <w:jc w:val="center"/>
              <w:rPr>
                <w:rFonts w:ascii="宋体" w:hAnsi="宋体" w:eastAsia="宋体"/>
                <w:sz w:val="18"/>
                <w:szCs w:val="18"/>
              </w:rPr>
            </w:pPr>
            <w:r>
              <w:rPr>
                <w:rFonts w:ascii="宋体" w:hAnsi="宋体" w:eastAsia="宋体" w:cs="Arial"/>
                <w:sz w:val="18"/>
                <w:szCs w:val="18"/>
              </w:rPr>
              <w:t>8</w:t>
            </w:r>
          </w:p>
        </w:tc>
        <w:tc>
          <w:tcPr>
            <w:tcW w:w="1794" w:type="dxa"/>
            <w:tcMar>
              <w:top w:w="60" w:type="dxa"/>
              <w:left w:w="120" w:type="dxa"/>
              <w:bottom w:w="30" w:type="dxa"/>
              <w:right w:w="120" w:type="dxa"/>
            </w:tcMar>
          </w:tcPr>
          <w:p w14:paraId="25C1004E">
            <w:pPr>
              <w:spacing w:line="288" w:lineRule="auto"/>
              <w:jc w:val="left"/>
              <w:rPr>
                <w:rFonts w:ascii="宋体" w:hAnsi="宋体" w:eastAsia="宋体"/>
                <w:sz w:val="18"/>
                <w:szCs w:val="18"/>
              </w:rPr>
            </w:pPr>
            <w:r>
              <w:rPr>
                <w:rFonts w:ascii="宋体" w:hAnsi="宋体" w:eastAsia="宋体" w:cs="Arial"/>
                <w:sz w:val="18"/>
                <w:szCs w:val="18"/>
              </w:rPr>
              <w:t>上游租赁资产</w:t>
            </w:r>
          </w:p>
        </w:tc>
        <w:tc>
          <w:tcPr>
            <w:tcW w:w="4819" w:type="dxa"/>
            <w:tcMar>
              <w:top w:w="60" w:type="dxa"/>
              <w:left w:w="120" w:type="dxa"/>
              <w:bottom w:w="30" w:type="dxa"/>
              <w:right w:w="120" w:type="dxa"/>
            </w:tcMar>
          </w:tcPr>
          <w:p w14:paraId="7835666E">
            <w:pPr>
              <w:spacing w:line="288" w:lineRule="auto"/>
              <w:jc w:val="left"/>
              <w:rPr>
                <w:rFonts w:ascii="宋体" w:hAnsi="宋体" w:eastAsia="宋体"/>
                <w:sz w:val="18"/>
                <w:szCs w:val="18"/>
              </w:rPr>
            </w:pPr>
            <w:r>
              <w:rPr>
                <w:rFonts w:ascii="宋体" w:hAnsi="宋体" w:eastAsia="宋体" w:cs="Arial"/>
                <w:sz w:val="18"/>
                <w:szCs w:val="18"/>
              </w:rPr>
              <w:t>不需要考虑（非常罕见，与1和2具有相同效用，但采用租赁而非购买）</w:t>
            </w:r>
          </w:p>
        </w:tc>
        <w:tc>
          <w:tcPr>
            <w:tcW w:w="1418" w:type="dxa"/>
            <w:tcMar>
              <w:top w:w="60" w:type="dxa"/>
              <w:left w:w="120" w:type="dxa"/>
              <w:bottom w:w="30" w:type="dxa"/>
              <w:right w:w="120" w:type="dxa"/>
            </w:tcMar>
            <w:vAlign w:val="center"/>
          </w:tcPr>
          <w:p w14:paraId="33A78FB6">
            <w:pPr>
              <w:spacing w:line="288" w:lineRule="auto"/>
              <w:jc w:val="center"/>
              <w:rPr>
                <w:rFonts w:ascii="宋体" w:hAnsi="宋体" w:eastAsia="宋体"/>
                <w:sz w:val="18"/>
                <w:szCs w:val="18"/>
              </w:rPr>
            </w:pPr>
            <w:r>
              <w:rPr>
                <w:rFonts w:hint="eastAsia" w:ascii="宋体" w:hAnsi="宋体" w:eastAsia="宋体"/>
                <w:sz w:val="18"/>
                <w:szCs w:val="18"/>
              </w:rPr>
              <w:t>/</w:t>
            </w:r>
          </w:p>
        </w:tc>
      </w:tr>
      <w:tr w14:paraId="237DE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restart"/>
            <w:tcMar>
              <w:top w:w="60" w:type="dxa"/>
              <w:left w:w="120" w:type="dxa"/>
              <w:bottom w:w="30" w:type="dxa"/>
              <w:right w:w="120" w:type="dxa"/>
            </w:tcMar>
          </w:tcPr>
          <w:p w14:paraId="5D1485A1">
            <w:pPr>
              <w:spacing w:line="288" w:lineRule="auto"/>
              <w:jc w:val="center"/>
              <w:rPr>
                <w:rFonts w:ascii="宋体" w:hAnsi="宋体" w:eastAsia="宋体"/>
                <w:sz w:val="18"/>
                <w:szCs w:val="18"/>
              </w:rPr>
            </w:pPr>
            <w:r>
              <w:rPr>
                <w:rFonts w:ascii="宋体" w:hAnsi="宋体" w:eastAsia="宋体" w:cs="Arial"/>
                <w:sz w:val="18"/>
                <w:szCs w:val="18"/>
              </w:rPr>
              <w:t>下游</w:t>
            </w:r>
          </w:p>
        </w:tc>
        <w:tc>
          <w:tcPr>
            <w:tcW w:w="510" w:type="dxa"/>
            <w:tcMar>
              <w:top w:w="60" w:type="dxa"/>
              <w:left w:w="120" w:type="dxa"/>
              <w:bottom w:w="30" w:type="dxa"/>
              <w:right w:w="120" w:type="dxa"/>
            </w:tcMar>
          </w:tcPr>
          <w:p w14:paraId="77575750">
            <w:pPr>
              <w:spacing w:line="288" w:lineRule="auto"/>
              <w:jc w:val="center"/>
              <w:rPr>
                <w:rFonts w:ascii="宋体" w:hAnsi="宋体" w:eastAsia="宋体"/>
                <w:sz w:val="18"/>
                <w:szCs w:val="18"/>
              </w:rPr>
            </w:pPr>
            <w:r>
              <w:rPr>
                <w:rFonts w:ascii="宋体" w:hAnsi="宋体" w:eastAsia="宋体" w:cs="Arial"/>
                <w:sz w:val="18"/>
                <w:szCs w:val="18"/>
              </w:rPr>
              <w:t>9</w:t>
            </w:r>
          </w:p>
        </w:tc>
        <w:tc>
          <w:tcPr>
            <w:tcW w:w="1794" w:type="dxa"/>
            <w:tcMar>
              <w:top w:w="60" w:type="dxa"/>
              <w:left w:w="120" w:type="dxa"/>
              <w:bottom w:w="30" w:type="dxa"/>
              <w:right w:w="120" w:type="dxa"/>
            </w:tcMar>
          </w:tcPr>
          <w:p w14:paraId="6CBD927E">
            <w:pPr>
              <w:spacing w:line="288" w:lineRule="auto"/>
              <w:jc w:val="left"/>
              <w:rPr>
                <w:rFonts w:ascii="宋体" w:hAnsi="宋体" w:eastAsia="宋体"/>
                <w:sz w:val="18"/>
                <w:szCs w:val="18"/>
              </w:rPr>
            </w:pPr>
            <w:r>
              <w:rPr>
                <w:rFonts w:ascii="宋体" w:hAnsi="宋体" w:eastAsia="宋体" w:cs="Arial"/>
                <w:sz w:val="18"/>
                <w:szCs w:val="18"/>
              </w:rPr>
              <w:t>下游运输和配送</w:t>
            </w:r>
          </w:p>
        </w:tc>
        <w:tc>
          <w:tcPr>
            <w:tcW w:w="4819" w:type="dxa"/>
            <w:tcMar>
              <w:top w:w="60" w:type="dxa"/>
              <w:left w:w="120" w:type="dxa"/>
              <w:bottom w:w="30" w:type="dxa"/>
              <w:right w:w="120" w:type="dxa"/>
            </w:tcMar>
          </w:tcPr>
          <w:p w14:paraId="3FA9E47C">
            <w:pPr>
              <w:spacing w:line="288" w:lineRule="auto"/>
              <w:jc w:val="left"/>
              <w:rPr>
                <w:rFonts w:ascii="宋体" w:hAnsi="宋体" w:eastAsia="宋体"/>
                <w:sz w:val="18"/>
                <w:szCs w:val="18"/>
              </w:rPr>
            </w:pPr>
            <w:r>
              <w:rPr>
                <w:rFonts w:ascii="宋体" w:hAnsi="宋体" w:eastAsia="宋体" w:cs="Arial"/>
                <w:sz w:val="18"/>
                <w:szCs w:val="18"/>
              </w:rPr>
              <w:t>不需要考虑（非产品交付）</w:t>
            </w:r>
          </w:p>
        </w:tc>
        <w:tc>
          <w:tcPr>
            <w:tcW w:w="1418" w:type="dxa"/>
            <w:tcMar>
              <w:top w:w="60" w:type="dxa"/>
              <w:left w:w="120" w:type="dxa"/>
              <w:bottom w:w="30" w:type="dxa"/>
              <w:right w:w="120" w:type="dxa"/>
            </w:tcMar>
            <w:vAlign w:val="center"/>
          </w:tcPr>
          <w:p w14:paraId="73AF347F">
            <w:pPr>
              <w:spacing w:line="288" w:lineRule="auto"/>
              <w:jc w:val="center"/>
              <w:rPr>
                <w:rFonts w:ascii="宋体" w:hAnsi="宋体" w:eastAsia="宋体"/>
                <w:sz w:val="18"/>
                <w:szCs w:val="18"/>
              </w:rPr>
            </w:pPr>
            <w:r>
              <w:rPr>
                <w:rFonts w:hint="eastAsia" w:ascii="宋体" w:hAnsi="宋体" w:eastAsia="宋体"/>
                <w:sz w:val="18"/>
                <w:szCs w:val="18"/>
              </w:rPr>
              <w:t>/</w:t>
            </w:r>
          </w:p>
        </w:tc>
      </w:tr>
      <w:tr w14:paraId="7E7F8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305F3D40">
            <w:pPr>
              <w:spacing w:line="288" w:lineRule="auto"/>
              <w:jc w:val="left"/>
              <w:rPr>
                <w:rFonts w:ascii="宋体" w:hAnsi="宋体" w:eastAsia="宋体"/>
                <w:sz w:val="18"/>
                <w:szCs w:val="18"/>
              </w:rPr>
            </w:pPr>
          </w:p>
        </w:tc>
        <w:tc>
          <w:tcPr>
            <w:tcW w:w="510" w:type="dxa"/>
            <w:tcMar>
              <w:top w:w="60" w:type="dxa"/>
              <w:left w:w="120" w:type="dxa"/>
              <w:bottom w:w="30" w:type="dxa"/>
              <w:right w:w="120" w:type="dxa"/>
            </w:tcMar>
          </w:tcPr>
          <w:p w14:paraId="50BD7AD8">
            <w:pPr>
              <w:spacing w:line="288" w:lineRule="auto"/>
              <w:jc w:val="center"/>
              <w:rPr>
                <w:rFonts w:ascii="宋体" w:hAnsi="宋体" w:eastAsia="宋体"/>
                <w:sz w:val="18"/>
                <w:szCs w:val="18"/>
              </w:rPr>
            </w:pPr>
            <w:r>
              <w:rPr>
                <w:rFonts w:ascii="宋体" w:hAnsi="宋体" w:eastAsia="宋体" w:cs="Arial"/>
                <w:sz w:val="18"/>
                <w:szCs w:val="18"/>
              </w:rPr>
              <w:t>10</w:t>
            </w:r>
          </w:p>
        </w:tc>
        <w:tc>
          <w:tcPr>
            <w:tcW w:w="1794" w:type="dxa"/>
            <w:tcMar>
              <w:top w:w="60" w:type="dxa"/>
              <w:left w:w="120" w:type="dxa"/>
              <w:bottom w:w="30" w:type="dxa"/>
              <w:right w:w="120" w:type="dxa"/>
            </w:tcMar>
          </w:tcPr>
          <w:p w14:paraId="101E8BF6">
            <w:pPr>
              <w:spacing w:line="288" w:lineRule="auto"/>
              <w:jc w:val="left"/>
              <w:rPr>
                <w:rFonts w:ascii="宋体" w:hAnsi="宋体" w:eastAsia="宋体"/>
                <w:sz w:val="18"/>
                <w:szCs w:val="18"/>
              </w:rPr>
            </w:pPr>
            <w:r>
              <w:rPr>
                <w:rFonts w:ascii="宋体" w:hAnsi="宋体" w:eastAsia="宋体" w:cs="Arial"/>
                <w:sz w:val="18"/>
                <w:szCs w:val="18"/>
              </w:rPr>
              <w:t>售出产品的加工</w:t>
            </w:r>
          </w:p>
        </w:tc>
        <w:tc>
          <w:tcPr>
            <w:tcW w:w="4819" w:type="dxa"/>
            <w:tcMar>
              <w:top w:w="60" w:type="dxa"/>
              <w:left w:w="120" w:type="dxa"/>
              <w:bottom w:w="30" w:type="dxa"/>
              <w:right w:w="120" w:type="dxa"/>
            </w:tcMar>
          </w:tcPr>
          <w:p w14:paraId="7EEC0786">
            <w:pPr>
              <w:spacing w:line="288" w:lineRule="auto"/>
              <w:jc w:val="left"/>
              <w:rPr>
                <w:rFonts w:ascii="宋体" w:hAnsi="宋体" w:eastAsia="宋体"/>
                <w:sz w:val="18"/>
                <w:szCs w:val="18"/>
              </w:rPr>
            </w:pPr>
            <w:r>
              <w:rPr>
                <w:rFonts w:ascii="宋体" w:hAnsi="宋体" w:eastAsia="宋体" w:cs="Arial"/>
                <w:sz w:val="18"/>
                <w:szCs w:val="18"/>
              </w:rPr>
              <w:t>不需要考虑（非产品交付）</w:t>
            </w:r>
          </w:p>
        </w:tc>
        <w:tc>
          <w:tcPr>
            <w:tcW w:w="1418" w:type="dxa"/>
            <w:tcMar>
              <w:top w:w="60" w:type="dxa"/>
              <w:left w:w="120" w:type="dxa"/>
              <w:bottom w:w="30" w:type="dxa"/>
              <w:right w:w="120" w:type="dxa"/>
            </w:tcMar>
            <w:vAlign w:val="center"/>
          </w:tcPr>
          <w:p w14:paraId="3FE9917F">
            <w:pPr>
              <w:spacing w:line="288" w:lineRule="auto"/>
              <w:jc w:val="center"/>
              <w:rPr>
                <w:rFonts w:ascii="宋体" w:hAnsi="宋体" w:eastAsia="宋体"/>
                <w:sz w:val="18"/>
                <w:szCs w:val="18"/>
              </w:rPr>
            </w:pPr>
            <w:r>
              <w:rPr>
                <w:rFonts w:hint="eastAsia" w:ascii="宋体" w:hAnsi="宋体" w:eastAsia="宋体"/>
                <w:sz w:val="18"/>
                <w:szCs w:val="18"/>
              </w:rPr>
              <w:t>/</w:t>
            </w:r>
          </w:p>
        </w:tc>
      </w:tr>
      <w:tr w14:paraId="019B6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7E1E642E">
            <w:pPr>
              <w:spacing w:line="288" w:lineRule="auto"/>
              <w:jc w:val="left"/>
              <w:rPr>
                <w:rFonts w:ascii="宋体" w:hAnsi="宋体" w:eastAsia="宋体"/>
                <w:sz w:val="18"/>
                <w:szCs w:val="18"/>
              </w:rPr>
            </w:pPr>
          </w:p>
        </w:tc>
        <w:tc>
          <w:tcPr>
            <w:tcW w:w="510" w:type="dxa"/>
            <w:tcMar>
              <w:top w:w="60" w:type="dxa"/>
              <w:left w:w="120" w:type="dxa"/>
              <w:bottom w:w="30" w:type="dxa"/>
              <w:right w:w="120" w:type="dxa"/>
            </w:tcMar>
          </w:tcPr>
          <w:p w14:paraId="6EF62E1F">
            <w:pPr>
              <w:spacing w:line="288" w:lineRule="auto"/>
              <w:jc w:val="center"/>
              <w:rPr>
                <w:rFonts w:ascii="宋体" w:hAnsi="宋体" w:eastAsia="宋体"/>
                <w:sz w:val="18"/>
                <w:szCs w:val="18"/>
              </w:rPr>
            </w:pPr>
            <w:r>
              <w:rPr>
                <w:rFonts w:ascii="宋体" w:hAnsi="宋体" w:eastAsia="宋体" w:cs="Arial"/>
                <w:sz w:val="18"/>
                <w:szCs w:val="18"/>
              </w:rPr>
              <w:t>11</w:t>
            </w:r>
          </w:p>
        </w:tc>
        <w:tc>
          <w:tcPr>
            <w:tcW w:w="1794" w:type="dxa"/>
            <w:tcMar>
              <w:top w:w="60" w:type="dxa"/>
              <w:left w:w="120" w:type="dxa"/>
              <w:bottom w:w="30" w:type="dxa"/>
              <w:right w:w="120" w:type="dxa"/>
            </w:tcMar>
          </w:tcPr>
          <w:p w14:paraId="75544D60">
            <w:pPr>
              <w:spacing w:line="288" w:lineRule="auto"/>
              <w:jc w:val="left"/>
              <w:rPr>
                <w:rFonts w:ascii="宋体" w:hAnsi="宋体" w:eastAsia="宋体"/>
                <w:sz w:val="18"/>
                <w:szCs w:val="18"/>
              </w:rPr>
            </w:pPr>
            <w:r>
              <w:rPr>
                <w:rFonts w:ascii="宋体" w:hAnsi="宋体" w:eastAsia="宋体" w:cs="Arial"/>
                <w:sz w:val="18"/>
                <w:szCs w:val="18"/>
              </w:rPr>
              <w:t>售出产品的使用</w:t>
            </w:r>
          </w:p>
        </w:tc>
        <w:tc>
          <w:tcPr>
            <w:tcW w:w="4819" w:type="dxa"/>
            <w:tcMar>
              <w:top w:w="60" w:type="dxa"/>
              <w:left w:w="120" w:type="dxa"/>
              <w:bottom w:w="30" w:type="dxa"/>
              <w:right w:w="120" w:type="dxa"/>
            </w:tcMar>
          </w:tcPr>
          <w:p w14:paraId="3E294E4A">
            <w:pPr>
              <w:spacing w:line="288" w:lineRule="auto"/>
              <w:jc w:val="left"/>
              <w:rPr>
                <w:rFonts w:ascii="宋体" w:hAnsi="宋体" w:eastAsia="宋体"/>
                <w:sz w:val="18"/>
                <w:szCs w:val="18"/>
              </w:rPr>
            </w:pPr>
            <w:r>
              <w:rPr>
                <w:rFonts w:ascii="宋体" w:hAnsi="宋体" w:eastAsia="宋体" w:cs="Arial"/>
                <w:sz w:val="18"/>
                <w:szCs w:val="18"/>
              </w:rPr>
              <w:t>不需要考虑（非产品交付）</w:t>
            </w:r>
          </w:p>
        </w:tc>
        <w:tc>
          <w:tcPr>
            <w:tcW w:w="1418" w:type="dxa"/>
            <w:tcMar>
              <w:top w:w="60" w:type="dxa"/>
              <w:left w:w="120" w:type="dxa"/>
              <w:bottom w:w="30" w:type="dxa"/>
              <w:right w:w="120" w:type="dxa"/>
            </w:tcMar>
            <w:vAlign w:val="center"/>
          </w:tcPr>
          <w:p w14:paraId="51AD54CF">
            <w:pPr>
              <w:spacing w:line="288" w:lineRule="auto"/>
              <w:jc w:val="center"/>
              <w:rPr>
                <w:rFonts w:ascii="宋体" w:hAnsi="宋体" w:eastAsia="宋体"/>
                <w:sz w:val="18"/>
                <w:szCs w:val="18"/>
              </w:rPr>
            </w:pPr>
            <w:r>
              <w:rPr>
                <w:rFonts w:hint="eastAsia" w:ascii="宋体" w:hAnsi="宋体" w:eastAsia="宋体"/>
                <w:sz w:val="18"/>
                <w:szCs w:val="18"/>
              </w:rPr>
              <w:t>/</w:t>
            </w:r>
          </w:p>
        </w:tc>
      </w:tr>
      <w:tr w14:paraId="1B9BD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40D46C93">
            <w:pPr>
              <w:spacing w:line="288" w:lineRule="auto"/>
              <w:jc w:val="left"/>
              <w:rPr>
                <w:rFonts w:ascii="宋体" w:hAnsi="宋体" w:eastAsia="宋体"/>
                <w:sz w:val="18"/>
                <w:szCs w:val="18"/>
              </w:rPr>
            </w:pPr>
          </w:p>
        </w:tc>
        <w:tc>
          <w:tcPr>
            <w:tcW w:w="510" w:type="dxa"/>
            <w:tcMar>
              <w:top w:w="60" w:type="dxa"/>
              <w:left w:w="120" w:type="dxa"/>
              <w:bottom w:w="30" w:type="dxa"/>
              <w:right w:w="120" w:type="dxa"/>
            </w:tcMar>
          </w:tcPr>
          <w:p w14:paraId="30560B56">
            <w:pPr>
              <w:spacing w:line="288" w:lineRule="auto"/>
              <w:jc w:val="center"/>
              <w:rPr>
                <w:rFonts w:ascii="宋体" w:hAnsi="宋体" w:eastAsia="宋体"/>
                <w:sz w:val="18"/>
                <w:szCs w:val="18"/>
              </w:rPr>
            </w:pPr>
            <w:r>
              <w:rPr>
                <w:rFonts w:ascii="宋体" w:hAnsi="宋体" w:eastAsia="宋体" w:cs="Arial"/>
                <w:sz w:val="18"/>
                <w:szCs w:val="18"/>
              </w:rPr>
              <w:t>12</w:t>
            </w:r>
          </w:p>
        </w:tc>
        <w:tc>
          <w:tcPr>
            <w:tcW w:w="1794" w:type="dxa"/>
            <w:tcMar>
              <w:top w:w="60" w:type="dxa"/>
              <w:left w:w="120" w:type="dxa"/>
              <w:bottom w:w="30" w:type="dxa"/>
              <w:right w:w="120" w:type="dxa"/>
            </w:tcMar>
          </w:tcPr>
          <w:p w14:paraId="6FFDAF91">
            <w:pPr>
              <w:spacing w:line="288" w:lineRule="auto"/>
              <w:jc w:val="left"/>
              <w:rPr>
                <w:rFonts w:ascii="宋体" w:hAnsi="宋体" w:eastAsia="宋体"/>
                <w:sz w:val="18"/>
                <w:szCs w:val="18"/>
              </w:rPr>
            </w:pPr>
            <w:r>
              <w:rPr>
                <w:rFonts w:ascii="宋体" w:hAnsi="宋体" w:eastAsia="宋体" w:cs="Arial"/>
                <w:sz w:val="18"/>
                <w:szCs w:val="18"/>
              </w:rPr>
              <w:t>售出产品的处置</w:t>
            </w:r>
          </w:p>
        </w:tc>
        <w:tc>
          <w:tcPr>
            <w:tcW w:w="4819" w:type="dxa"/>
            <w:tcMar>
              <w:top w:w="60" w:type="dxa"/>
              <w:left w:w="120" w:type="dxa"/>
              <w:bottom w:w="30" w:type="dxa"/>
              <w:right w:w="120" w:type="dxa"/>
            </w:tcMar>
          </w:tcPr>
          <w:p w14:paraId="724538E5">
            <w:pPr>
              <w:spacing w:line="288" w:lineRule="auto"/>
              <w:jc w:val="left"/>
              <w:rPr>
                <w:rFonts w:ascii="宋体" w:hAnsi="宋体" w:eastAsia="宋体"/>
                <w:sz w:val="18"/>
                <w:szCs w:val="18"/>
              </w:rPr>
            </w:pPr>
            <w:r>
              <w:rPr>
                <w:rFonts w:ascii="宋体" w:hAnsi="宋体" w:eastAsia="宋体" w:cs="Arial"/>
                <w:sz w:val="18"/>
                <w:szCs w:val="18"/>
              </w:rPr>
              <w:t>不需要考虑（非产品交付）</w:t>
            </w:r>
          </w:p>
        </w:tc>
        <w:tc>
          <w:tcPr>
            <w:tcW w:w="1418" w:type="dxa"/>
            <w:tcMar>
              <w:top w:w="60" w:type="dxa"/>
              <w:left w:w="120" w:type="dxa"/>
              <w:bottom w:w="30" w:type="dxa"/>
              <w:right w:w="120" w:type="dxa"/>
            </w:tcMar>
            <w:vAlign w:val="center"/>
          </w:tcPr>
          <w:p w14:paraId="64A4A6B2">
            <w:pPr>
              <w:spacing w:line="288" w:lineRule="auto"/>
              <w:jc w:val="center"/>
              <w:rPr>
                <w:rFonts w:ascii="宋体" w:hAnsi="宋体" w:eastAsia="宋体"/>
                <w:sz w:val="18"/>
                <w:szCs w:val="18"/>
              </w:rPr>
            </w:pPr>
            <w:r>
              <w:rPr>
                <w:rFonts w:hint="eastAsia" w:ascii="宋体" w:hAnsi="宋体" w:eastAsia="宋体"/>
                <w:sz w:val="18"/>
                <w:szCs w:val="18"/>
              </w:rPr>
              <w:t>/</w:t>
            </w:r>
          </w:p>
        </w:tc>
      </w:tr>
      <w:tr w14:paraId="381B8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45A419FB">
            <w:pPr>
              <w:spacing w:line="288" w:lineRule="auto"/>
              <w:jc w:val="left"/>
              <w:rPr>
                <w:rFonts w:ascii="宋体" w:hAnsi="宋体" w:eastAsia="宋体"/>
                <w:sz w:val="18"/>
                <w:szCs w:val="18"/>
              </w:rPr>
            </w:pPr>
          </w:p>
        </w:tc>
        <w:tc>
          <w:tcPr>
            <w:tcW w:w="510" w:type="dxa"/>
            <w:tcMar>
              <w:top w:w="60" w:type="dxa"/>
              <w:left w:w="120" w:type="dxa"/>
              <w:bottom w:w="30" w:type="dxa"/>
              <w:right w:w="120" w:type="dxa"/>
            </w:tcMar>
          </w:tcPr>
          <w:p w14:paraId="4385952A">
            <w:pPr>
              <w:spacing w:line="288" w:lineRule="auto"/>
              <w:jc w:val="center"/>
              <w:rPr>
                <w:rFonts w:ascii="宋体" w:hAnsi="宋体" w:eastAsia="宋体"/>
                <w:sz w:val="18"/>
                <w:szCs w:val="18"/>
              </w:rPr>
            </w:pPr>
            <w:r>
              <w:rPr>
                <w:rFonts w:ascii="宋体" w:hAnsi="宋体" w:eastAsia="宋体" w:cs="Arial"/>
                <w:sz w:val="18"/>
                <w:szCs w:val="18"/>
              </w:rPr>
              <w:t>13</w:t>
            </w:r>
          </w:p>
        </w:tc>
        <w:tc>
          <w:tcPr>
            <w:tcW w:w="1794" w:type="dxa"/>
            <w:tcMar>
              <w:top w:w="60" w:type="dxa"/>
              <w:left w:w="120" w:type="dxa"/>
              <w:bottom w:w="30" w:type="dxa"/>
              <w:right w:w="120" w:type="dxa"/>
            </w:tcMar>
          </w:tcPr>
          <w:p w14:paraId="76B84412">
            <w:pPr>
              <w:spacing w:line="288" w:lineRule="auto"/>
              <w:jc w:val="left"/>
              <w:rPr>
                <w:rFonts w:ascii="宋体" w:hAnsi="宋体" w:eastAsia="宋体"/>
                <w:sz w:val="18"/>
                <w:szCs w:val="18"/>
              </w:rPr>
            </w:pPr>
            <w:r>
              <w:rPr>
                <w:rFonts w:ascii="宋体" w:hAnsi="宋体" w:eastAsia="宋体" w:cs="Arial"/>
                <w:sz w:val="18"/>
                <w:szCs w:val="18"/>
              </w:rPr>
              <w:t>下游出租资产</w:t>
            </w:r>
          </w:p>
        </w:tc>
        <w:tc>
          <w:tcPr>
            <w:tcW w:w="4819" w:type="dxa"/>
            <w:tcMar>
              <w:top w:w="60" w:type="dxa"/>
              <w:left w:w="120" w:type="dxa"/>
              <w:bottom w:w="30" w:type="dxa"/>
              <w:right w:w="120" w:type="dxa"/>
            </w:tcMar>
          </w:tcPr>
          <w:p w14:paraId="16186240">
            <w:pPr>
              <w:spacing w:line="288" w:lineRule="auto"/>
              <w:jc w:val="left"/>
              <w:rPr>
                <w:rFonts w:ascii="宋体" w:hAnsi="宋体" w:eastAsia="宋体"/>
                <w:sz w:val="18"/>
                <w:szCs w:val="18"/>
              </w:rPr>
            </w:pPr>
            <w:r>
              <w:rPr>
                <w:rFonts w:ascii="宋体" w:hAnsi="宋体" w:eastAsia="宋体" w:cs="Arial"/>
                <w:sz w:val="18"/>
                <w:szCs w:val="18"/>
              </w:rPr>
              <w:t>需要考虑，租户面积的产生的外购电力或热力排放</w:t>
            </w:r>
          </w:p>
        </w:tc>
        <w:tc>
          <w:tcPr>
            <w:tcW w:w="1418" w:type="dxa"/>
            <w:tcMar>
              <w:top w:w="60" w:type="dxa"/>
              <w:left w:w="120" w:type="dxa"/>
              <w:bottom w:w="30" w:type="dxa"/>
              <w:right w:w="120" w:type="dxa"/>
            </w:tcMar>
            <w:vAlign w:val="center"/>
          </w:tcPr>
          <w:p w14:paraId="407DE088">
            <w:pPr>
              <w:spacing w:line="288" w:lineRule="auto"/>
              <w:jc w:val="center"/>
              <w:rPr>
                <w:rFonts w:ascii="宋体" w:hAnsi="宋体" w:eastAsia="宋体"/>
                <w:sz w:val="18"/>
                <w:szCs w:val="18"/>
              </w:rPr>
            </w:pPr>
            <w:r>
              <w:rPr>
                <w:rFonts w:ascii="宋体" w:hAnsi="宋体" w:eastAsia="宋体" w:cs="Arial"/>
                <w:sz w:val="18"/>
                <w:szCs w:val="18"/>
              </w:rPr>
              <w:t>包含</w:t>
            </w:r>
          </w:p>
        </w:tc>
      </w:tr>
      <w:tr w14:paraId="27B1E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13E94B0A">
            <w:pPr>
              <w:spacing w:line="288" w:lineRule="auto"/>
              <w:jc w:val="left"/>
              <w:rPr>
                <w:rFonts w:ascii="宋体" w:hAnsi="宋体" w:eastAsia="宋体"/>
                <w:sz w:val="18"/>
                <w:szCs w:val="18"/>
              </w:rPr>
            </w:pPr>
          </w:p>
        </w:tc>
        <w:tc>
          <w:tcPr>
            <w:tcW w:w="510" w:type="dxa"/>
            <w:tcMar>
              <w:top w:w="60" w:type="dxa"/>
              <w:left w:w="120" w:type="dxa"/>
              <w:bottom w:w="30" w:type="dxa"/>
              <w:right w:w="120" w:type="dxa"/>
            </w:tcMar>
          </w:tcPr>
          <w:p w14:paraId="77F077E0">
            <w:pPr>
              <w:spacing w:line="288" w:lineRule="auto"/>
              <w:jc w:val="center"/>
              <w:rPr>
                <w:rFonts w:ascii="宋体" w:hAnsi="宋体" w:eastAsia="宋体"/>
                <w:sz w:val="18"/>
                <w:szCs w:val="18"/>
              </w:rPr>
            </w:pPr>
            <w:r>
              <w:rPr>
                <w:rFonts w:ascii="宋体" w:hAnsi="宋体" w:eastAsia="宋体" w:cs="Arial"/>
                <w:sz w:val="18"/>
                <w:szCs w:val="18"/>
              </w:rPr>
              <w:t>14</w:t>
            </w:r>
          </w:p>
        </w:tc>
        <w:tc>
          <w:tcPr>
            <w:tcW w:w="1794" w:type="dxa"/>
            <w:tcMar>
              <w:top w:w="60" w:type="dxa"/>
              <w:left w:w="120" w:type="dxa"/>
              <w:bottom w:w="30" w:type="dxa"/>
              <w:right w:w="120" w:type="dxa"/>
            </w:tcMar>
          </w:tcPr>
          <w:p w14:paraId="5F33C3E2">
            <w:pPr>
              <w:spacing w:line="288" w:lineRule="auto"/>
              <w:jc w:val="left"/>
              <w:rPr>
                <w:rFonts w:ascii="宋体" w:hAnsi="宋体" w:eastAsia="宋体"/>
                <w:sz w:val="18"/>
                <w:szCs w:val="18"/>
              </w:rPr>
            </w:pPr>
            <w:r>
              <w:rPr>
                <w:rFonts w:ascii="宋体" w:hAnsi="宋体" w:eastAsia="宋体" w:cs="Arial"/>
                <w:sz w:val="18"/>
                <w:szCs w:val="18"/>
              </w:rPr>
              <w:t>特许经营控制资产</w:t>
            </w:r>
          </w:p>
        </w:tc>
        <w:tc>
          <w:tcPr>
            <w:tcW w:w="4819" w:type="dxa"/>
            <w:tcMar>
              <w:top w:w="60" w:type="dxa"/>
              <w:left w:w="120" w:type="dxa"/>
              <w:bottom w:w="30" w:type="dxa"/>
              <w:right w:w="120" w:type="dxa"/>
            </w:tcMar>
          </w:tcPr>
          <w:p w14:paraId="5FEEAA83">
            <w:pPr>
              <w:spacing w:line="288" w:lineRule="auto"/>
              <w:jc w:val="left"/>
              <w:rPr>
                <w:rFonts w:ascii="宋体" w:hAnsi="宋体" w:eastAsia="宋体"/>
                <w:sz w:val="18"/>
                <w:szCs w:val="18"/>
              </w:rPr>
            </w:pPr>
            <w:r>
              <w:rPr>
                <w:rFonts w:ascii="宋体" w:hAnsi="宋体" w:eastAsia="宋体" w:cs="Arial"/>
                <w:sz w:val="18"/>
                <w:szCs w:val="18"/>
              </w:rPr>
              <w:t>不需要考虑（不适用于单体物业）</w:t>
            </w:r>
          </w:p>
        </w:tc>
        <w:tc>
          <w:tcPr>
            <w:tcW w:w="1418" w:type="dxa"/>
            <w:tcMar>
              <w:top w:w="60" w:type="dxa"/>
              <w:left w:w="120" w:type="dxa"/>
              <w:bottom w:w="30" w:type="dxa"/>
              <w:right w:w="120" w:type="dxa"/>
            </w:tcMar>
            <w:vAlign w:val="center"/>
          </w:tcPr>
          <w:p w14:paraId="621055A1">
            <w:pPr>
              <w:spacing w:line="288" w:lineRule="auto"/>
              <w:jc w:val="center"/>
              <w:rPr>
                <w:rFonts w:ascii="宋体" w:hAnsi="宋体" w:eastAsia="宋体"/>
                <w:sz w:val="18"/>
                <w:szCs w:val="18"/>
              </w:rPr>
            </w:pPr>
            <w:r>
              <w:rPr>
                <w:rFonts w:hint="eastAsia" w:ascii="宋体" w:hAnsi="宋体" w:eastAsia="宋体"/>
                <w:sz w:val="18"/>
                <w:szCs w:val="18"/>
              </w:rPr>
              <w:t>/</w:t>
            </w:r>
          </w:p>
        </w:tc>
      </w:tr>
      <w:tr w14:paraId="754DA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c>
          <w:tcPr>
            <w:tcW w:w="390" w:type="dxa"/>
            <w:vMerge w:val="continue"/>
            <w:tcMar>
              <w:top w:w="60" w:type="dxa"/>
              <w:left w:w="120" w:type="dxa"/>
              <w:bottom w:w="30" w:type="dxa"/>
              <w:right w:w="120" w:type="dxa"/>
            </w:tcMar>
          </w:tcPr>
          <w:p w14:paraId="6FD898EC">
            <w:pPr>
              <w:spacing w:line="288" w:lineRule="auto"/>
              <w:jc w:val="left"/>
              <w:rPr>
                <w:rFonts w:ascii="宋体" w:hAnsi="宋体" w:eastAsia="宋体"/>
                <w:sz w:val="18"/>
                <w:szCs w:val="18"/>
              </w:rPr>
            </w:pPr>
          </w:p>
        </w:tc>
        <w:tc>
          <w:tcPr>
            <w:tcW w:w="510" w:type="dxa"/>
            <w:tcMar>
              <w:top w:w="60" w:type="dxa"/>
              <w:left w:w="120" w:type="dxa"/>
              <w:bottom w:w="30" w:type="dxa"/>
              <w:right w:w="120" w:type="dxa"/>
            </w:tcMar>
          </w:tcPr>
          <w:p w14:paraId="636F903E">
            <w:pPr>
              <w:spacing w:line="288" w:lineRule="auto"/>
              <w:jc w:val="center"/>
              <w:rPr>
                <w:rFonts w:ascii="宋体" w:hAnsi="宋体" w:eastAsia="宋体"/>
                <w:sz w:val="18"/>
                <w:szCs w:val="18"/>
              </w:rPr>
            </w:pPr>
            <w:r>
              <w:rPr>
                <w:rFonts w:ascii="宋体" w:hAnsi="宋体" w:eastAsia="宋体" w:cs="Arial"/>
                <w:sz w:val="18"/>
                <w:szCs w:val="18"/>
              </w:rPr>
              <w:t>15</w:t>
            </w:r>
          </w:p>
        </w:tc>
        <w:tc>
          <w:tcPr>
            <w:tcW w:w="1794" w:type="dxa"/>
            <w:tcMar>
              <w:top w:w="60" w:type="dxa"/>
              <w:left w:w="120" w:type="dxa"/>
              <w:bottom w:w="30" w:type="dxa"/>
              <w:right w:w="120" w:type="dxa"/>
            </w:tcMar>
          </w:tcPr>
          <w:p w14:paraId="49FD73C3">
            <w:pPr>
              <w:spacing w:line="288" w:lineRule="auto"/>
              <w:jc w:val="left"/>
              <w:rPr>
                <w:rFonts w:ascii="宋体" w:hAnsi="宋体" w:eastAsia="宋体"/>
                <w:sz w:val="18"/>
                <w:szCs w:val="18"/>
              </w:rPr>
            </w:pPr>
            <w:r>
              <w:rPr>
                <w:rFonts w:ascii="宋体" w:hAnsi="宋体" w:eastAsia="宋体" w:cs="Arial"/>
                <w:sz w:val="18"/>
                <w:szCs w:val="18"/>
              </w:rPr>
              <w:t>投资持有资产</w:t>
            </w:r>
          </w:p>
        </w:tc>
        <w:tc>
          <w:tcPr>
            <w:tcW w:w="4819" w:type="dxa"/>
            <w:tcMar>
              <w:top w:w="60" w:type="dxa"/>
              <w:left w:w="120" w:type="dxa"/>
              <w:bottom w:w="30" w:type="dxa"/>
              <w:right w:w="120" w:type="dxa"/>
            </w:tcMar>
          </w:tcPr>
          <w:p w14:paraId="1B4EE67F">
            <w:pPr>
              <w:spacing w:line="288" w:lineRule="auto"/>
              <w:jc w:val="left"/>
              <w:rPr>
                <w:rFonts w:ascii="宋体" w:hAnsi="宋体" w:eastAsia="宋体"/>
                <w:sz w:val="18"/>
                <w:szCs w:val="18"/>
              </w:rPr>
            </w:pPr>
            <w:r>
              <w:rPr>
                <w:rFonts w:ascii="宋体" w:hAnsi="宋体" w:eastAsia="宋体" w:cs="Arial"/>
                <w:sz w:val="18"/>
                <w:szCs w:val="18"/>
              </w:rPr>
              <w:t>不需要考虑（不适用于单体物业）</w:t>
            </w:r>
          </w:p>
        </w:tc>
        <w:tc>
          <w:tcPr>
            <w:tcW w:w="1418" w:type="dxa"/>
            <w:tcMar>
              <w:top w:w="60" w:type="dxa"/>
              <w:left w:w="120" w:type="dxa"/>
              <w:bottom w:w="30" w:type="dxa"/>
              <w:right w:w="120" w:type="dxa"/>
            </w:tcMar>
            <w:vAlign w:val="center"/>
          </w:tcPr>
          <w:p w14:paraId="3CED43C5">
            <w:pPr>
              <w:spacing w:line="288" w:lineRule="auto"/>
              <w:jc w:val="center"/>
              <w:rPr>
                <w:rFonts w:ascii="宋体" w:hAnsi="宋体" w:eastAsia="宋体"/>
                <w:sz w:val="18"/>
                <w:szCs w:val="18"/>
              </w:rPr>
            </w:pPr>
            <w:r>
              <w:rPr>
                <w:rFonts w:hint="eastAsia" w:ascii="宋体" w:hAnsi="宋体" w:eastAsia="宋体"/>
                <w:sz w:val="18"/>
                <w:szCs w:val="18"/>
              </w:rPr>
              <w:t>/</w:t>
            </w:r>
          </w:p>
        </w:tc>
      </w:tr>
    </w:tbl>
    <w:p w14:paraId="7630D70A">
      <w:pPr>
        <w:spacing w:before="120" w:after="120" w:line="288" w:lineRule="auto"/>
        <w:jc w:val="left"/>
      </w:pPr>
    </w:p>
    <w:p w14:paraId="6A410D1E">
      <w:pPr>
        <w:spacing w:before="120" w:after="120" w:line="288" w:lineRule="auto"/>
        <w:jc w:val="left"/>
      </w:pPr>
    </w:p>
    <w:p w14:paraId="15ACA138">
      <w:pPr>
        <w:widowControl/>
        <w:jc w:val="left"/>
      </w:pPr>
      <w:r>
        <w:br w:type="page"/>
      </w:r>
    </w:p>
    <w:p w14:paraId="6F7AF31B">
      <w:pPr>
        <w:spacing w:before="300" w:after="120" w:line="288" w:lineRule="auto"/>
        <w:jc w:val="center"/>
        <w:outlineLvl w:val="2"/>
        <w:rPr>
          <w:rFonts w:ascii="Arial" w:hAnsi="Arial" w:eastAsia="等线" w:cs="Arial"/>
          <w:b/>
          <w:sz w:val="30"/>
        </w:rPr>
      </w:pPr>
      <w:bookmarkStart w:id="65" w:name="heading_43"/>
      <w:r>
        <w:rPr>
          <w:rStyle w:val="22"/>
          <w:rFonts w:hint="eastAsia" w:ascii="黑体" w:hAnsi="黑体" w:eastAsia="黑体"/>
          <w:color w:val="000000"/>
          <w:szCs w:val="21"/>
          <w:shd w:val="clear" w:color="auto" w:fill="FFFFFF"/>
        </w:rPr>
        <w:t>附 录 B</w:t>
      </w:r>
    </w:p>
    <w:p w14:paraId="7148B5AE">
      <w:pPr>
        <w:spacing w:line="360" w:lineRule="auto"/>
        <w:jc w:val="center"/>
        <w:rPr>
          <w:rFonts w:ascii="黑体" w:hAnsi="黑体" w:eastAsia="黑体" w:cs="Arial"/>
          <w:bCs/>
          <w:szCs w:val="21"/>
        </w:rPr>
      </w:pPr>
      <w:r>
        <w:rPr>
          <w:rFonts w:hint="eastAsia" w:ascii="黑体" w:hAnsi="黑体" w:eastAsia="黑体" w:cs="Arial"/>
          <w:bCs/>
          <w:szCs w:val="21"/>
        </w:rPr>
        <w:t>(资料性)</w:t>
      </w:r>
    </w:p>
    <w:p w14:paraId="2DE483DA">
      <w:pPr>
        <w:spacing w:line="360" w:lineRule="auto"/>
        <w:jc w:val="center"/>
        <w:rPr>
          <w:rFonts w:ascii="黑体" w:hAnsi="黑体" w:eastAsia="黑体" w:cs="Arial"/>
          <w:bCs/>
          <w:szCs w:val="21"/>
        </w:rPr>
      </w:pPr>
      <w:r>
        <w:rPr>
          <w:rFonts w:ascii="黑体" w:hAnsi="黑体" w:eastAsia="黑体" w:cs="Arial"/>
          <w:bCs/>
          <w:szCs w:val="21"/>
        </w:rPr>
        <w:t>转供</w:t>
      </w:r>
      <w:r>
        <w:rPr>
          <w:rFonts w:hint="eastAsia" w:ascii="黑体" w:hAnsi="黑体" w:eastAsia="黑体" w:cs="Arial"/>
          <w:bCs/>
          <w:szCs w:val="21"/>
        </w:rPr>
        <w:t>情形</w:t>
      </w:r>
      <w:r>
        <w:rPr>
          <w:rFonts w:ascii="黑体" w:hAnsi="黑体" w:eastAsia="黑体" w:cs="Arial"/>
          <w:bCs/>
          <w:szCs w:val="21"/>
        </w:rPr>
        <w:t>绿电</w:t>
      </w:r>
      <w:r>
        <w:rPr>
          <w:rFonts w:hint="eastAsia" w:ascii="黑体" w:hAnsi="黑体" w:eastAsia="黑体" w:cs="Arial"/>
          <w:bCs/>
          <w:szCs w:val="21"/>
        </w:rPr>
        <w:t>消费</w:t>
      </w:r>
      <w:r>
        <w:rPr>
          <w:rFonts w:ascii="黑体" w:hAnsi="黑体" w:eastAsia="黑体" w:cs="Arial"/>
          <w:bCs/>
          <w:szCs w:val="21"/>
        </w:rPr>
        <w:t>核算与披露</w:t>
      </w:r>
      <w:bookmarkEnd w:id="65"/>
    </w:p>
    <w:p w14:paraId="32A32002">
      <w:pPr>
        <w:spacing w:line="288" w:lineRule="auto"/>
        <w:jc w:val="left"/>
        <w:rPr>
          <w:rFonts w:ascii="黑体" w:hAnsi="黑体" w:eastAsia="黑体"/>
          <w:bCs/>
          <w:sz w:val="20"/>
          <w:szCs w:val="21"/>
        </w:rPr>
      </w:pPr>
      <w:r>
        <w:rPr>
          <w:rFonts w:hint="eastAsia" w:ascii="黑体" w:hAnsi="黑体" w:eastAsia="黑体" w:cs="Arial"/>
          <w:bCs/>
          <w:szCs w:val="21"/>
        </w:rPr>
        <w:t xml:space="preserve">C.1 </w:t>
      </w:r>
      <w:r>
        <w:rPr>
          <w:rFonts w:ascii="黑体" w:hAnsi="黑体" w:eastAsia="黑体" w:cs="Arial"/>
          <w:bCs/>
          <w:szCs w:val="21"/>
        </w:rPr>
        <w:t>通则</w:t>
      </w:r>
    </w:p>
    <w:p w14:paraId="370FB017">
      <w:pPr>
        <w:spacing w:line="288" w:lineRule="auto"/>
        <w:ind w:firstLine="420"/>
        <w:jc w:val="left"/>
        <w:rPr>
          <w:rFonts w:ascii="宋体" w:hAnsi="宋体" w:eastAsia="宋体"/>
          <w:sz w:val="20"/>
          <w:szCs w:val="21"/>
        </w:rPr>
      </w:pPr>
      <w:r>
        <w:rPr>
          <w:rFonts w:ascii="宋体" w:hAnsi="宋体" w:eastAsia="宋体" w:cs="Arial"/>
          <w:szCs w:val="21"/>
        </w:rPr>
        <w:t>本附件规定转供情形下，租户绿色电力消费的核算与证明要求。</w:t>
      </w:r>
    </w:p>
    <w:p w14:paraId="6FE32125">
      <w:pPr>
        <w:spacing w:line="288" w:lineRule="auto"/>
        <w:ind w:firstLine="420"/>
        <w:jc w:val="left"/>
        <w:rPr>
          <w:rFonts w:ascii="宋体" w:hAnsi="宋体" w:eastAsia="宋体"/>
          <w:sz w:val="20"/>
          <w:szCs w:val="21"/>
        </w:rPr>
      </w:pPr>
      <w:r>
        <w:rPr>
          <w:rFonts w:ascii="宋体" w:hAnsi="宋体" w:eastAsia="宋体" w:cs="Arial"/>
          <w:szCs w:val="21"/>
        </w:rPr>
        <w:t>转供电情形下建筑业主通常作为转供电主体，租户通常作为转供电终端用户。</w:t>
      </w:r>
    </w:p>
    <w:p w14:paraId="777B6A85">
      <w:pPr>
        <w:spacing w:line="288" w:lineRule="auto"/>
        <w:ind w:left="453"/>
        <w:jc w:val="left"/>
        <w:rPr>
          <w:rFonts w:ascii="宋体" w:hAnsi="宋体" w:eastAsia="宋体"/>
          <w:sz w:val="16"/>
          <w:szCs w:val="18"/>
        </w:rPr>
      </w:pPr>
      <w:r>
        <w:rPr>
          <w:rFonts w:ascii="黑体" w:hAnsi="黑体" w:eastAsia="黑体" w:cs="Arial"/>
          <w:sz w:val="18"/>
          <w:szCs w:val="18"/>
        </w:rPr>
        <w:t>注1：</w:t>
      </w:r>
      <w:r>
        <w:rPr>
          <w:rFonts w:ascii="宋体" w:hAnsi="宋体" w:eastAsia="宋体" w:cs="Arial"/>
          <w:sz w:val="18"/>
          <w:szCs w:val="18"/>
        </w:rPr>
        <w:t>转供电主体为电网企业结算电费的用户，通常包括商业综合体、产业园区、写字楼产权人及其委托的物业服务企业、经营管理单位等。他们拥有配电设施产权，以自主经营的方式对终端用户供电、收取电费。根据规定，转供电主体并非电力“经营”的合法主体，收取电费时应该严格执行政府定价，禁止任何单位和个人在电费中加收其他费用。</w:t>
      </w:r>
    </w:p>
    <w:p w14:paraId="54B267AD">
      <w:pPr>
        <w:spacing w:line="288" w:lineRule="auto"/>
        <w:ind w:left="453"/>
        <w:jc w:val="left"/>
        <w:rPr>
          <w:rFonts w:ascii="宋体" w:hAnsi="宋体" w:eastAsia="宋体"/>
          <w:sz w:val="16"/>
          <w:szCs w:val="18"/>
        </w:rPr>
      </w:pPr>
      <w:r>
        <w:rPr>
          <w:rFonts w:ascii="黑体" w:hAnsi="黑体" w:eastAsia="黑体" w:cs="Arial"/>
          <w:sz w:val="18"/>
          <w:szCs w:val="18"/>
        </w:rPr>
        <w:t>注2：</w:t>
      </w:r>
      <w:r>
        <w:rPr>
          <w:rFonts w:ascii="宋体" w:hAnsi="宋体" w:eastAsia="宋体" w:cs="Arial"/>
          <w:sz w:val="18"/>
          <w:szCs w:val="18"/>
        </w:rPr>
        <w:t>转供电终端用户也可以被称为非直抄用户，指未直接向供电企业申请立户或不具备单独立户条件，由其他电力用户内部转供的终端用户。一般多为在商业综合体、产业园区、物业小区、写字楼中营业的中小微企业、店铺、个体工商户等。</w:t>
      </w:r>
    </w:p>
    <w:p w14:paraId="5B403F53">
      <w:pPr>
        <w:spacing w:line="288" w:lineRule="auto"/>
        <w:jc w:val="left"/>
        <w:rPr>
          <w:rFonts w:ascii="黑体" w:hAnsi="黑体" w:eastAsia="黑体" w:cs="Arial"/>
          <w:bCs/>
          <w:szCs w:val="21"/>
        </w:rPr>
      </w:pPr>
      <w:r>
        <w:rPr>
          <w:rFonts w:hint="eastAsia" w:ascii="黑体" w:hAnsi="黑体" w:eastAsia="黑体" w:cs="Arial"/>
          <w:bCs/>
          <w:szCs w:val="21"/>
        </w:rPr>
        <w:t xml:space="preserve">C.2 </w:t>
      </w:r>
      <w:r>
        <w:rPr>
          <w:rFonts w:ascii="黑体" w:hAnsi="黑体" w:eastAsia="黑体" w:cs="Arial"/>
          <w:bCs/>
          <w:szCs w:val="21"/>
        </w:rPr>
        <w:t>核算要求</w:t>
      </w:r>
    </w:p>
    <w:p w14:paraId="7C8EF4C6">
      <w:pPr>
        <w:spacing w:line="288" w:lineRule="auto"/>
        <w:ind w:firstLine="420"/>
        <w:jc w:val="left"/>
        <w:rPr>
          <w:rFonts w:ascii="宋体" w:hAnsi="宋体" w:eastAsia="宋体" w:cs="Arial"/>
          <w:szCs w:val="21"/>
        </w:rPr>
      </w:pPr>
      <w:r>
        <w:rPr>
          <w:rFonts w:hint="eastAsia" w:ascii="宋体" w:hAnsi="宋体" w:eastAsia="宋体" w:cs="Arial"/>
          <w:szCs w:val="21"/>
        </w:rPr>
        <w:t>转供情形下租户绿电消费核算应满足以下要求：</w:t>
      </w:r>
    </w:p>
    <w:p w14:paraId="4ACA2712">
      <w:pPr>
        <w:numPr>
          <w:ilvl w:val="0"/>
          <w:numId w:val="16"/>
        </w:numPr>
        <w:spacing w:line="288" w:lineRule="auto"/>
        <w:jc w:val="left"/>
        <w:rPr>
          <w:rFonts w:ascii="宋体" w:hAnsi="宋体" w:eastAsia="宋体"/>
          <w:sz w:val="20"/>
          <w:szCs w:val="21"/>
        </w:rPr>
      </w:pPr>
      <w:r>
        <w:rPr>
          <w:rFonts w:ascii="宋体" w:hAnsi="宋体" w:eastAsia="宋体" w:cs="Arial"/>
          <w:szCs w:val="21"/>
        </w:rPr>
        <w:t>转供电主体应当为所有终端用户安装合格的用电计量装置；</w:t>
      </w:r>
    </w:p>
    <w:p w14:paraId="4849C829">
      <w:pPr>
        <w:numPr>
          <w:ilvl w:val="0"/>
          <w:numId w:val="16"/>
        </w:numPr>
        <w:spacing w:line="288" w:lineRule="auto"/>
        <w:jc w:val="left"/>
        <w:rPr>
          <w:rFonts w:ascii="宋体" w:hAnsi="宋体" w:eastAsia="宋体"/>
          <w:sz w:val="20"/>
          <w:szCs w:val="21"/>
        </w:rPr>
      </w:pPr>
      <w:r>
        <w:rPr>
          <w:rFonts w:ascii="宋体" w:hAnsi="宋体" w:eastAsia="宋体" w:cs="Arial"/>
          <w:szCs w:val="21"/>
        </w:rPr>
        <w:t>转供电主体应已完成绿电消费核算；</w:t>
      </w:r>
    </w:p>
    <w:p w14:paraId="5190B8F1">
      <w:pPr>
        <w:numPr>
          <w:ilvl w:val="0"/>
          <w:numId w:val="16"/>
        </w:numPr>
        <w:spacing w:line="288" w:lineRule="auto"/>
        <w:jc w:val="left"/>
        <w:rPr>
          <w:rFonts w:ascii="宋体" w:hAnsi="宋体" w:eastAsia="宋体"/>
          <w:sz w:val="20"/>
          <w:szCs w:val="21"/>
        </w:rPr>
      </w:pPr>
      <w:r>
        <w:rPr>
          <w:rFonts w:ascii="宋体" w:hAnsi="宋体" w:eastAsia="宋体" w:cs="Arial"/>
          <w:szCs w:val="21"/>
        </w:rPr>
        <w:t>转供电主体和被转供电主体已签署转供电合同；</w:t>
      </w:r>
    </w:p>
    <w:p w14:paraId="3813CC8B">
      <w:pPr>
        <w:numPr>
          <w:ilvl w:val="0"/>
          <w:numId w:val="16"/>
        </w:numPr>
        <w:spacing w:line="288" w:lineRule="auto"/>
        <w:jc w:val="left"/>
        <w:rPr>
          <w:rFonts w:ascii="宋体" w:hAnsi="宋体" w:eastAsia="宋体"/>
          <w:sz w:val="20"/>
          <w:szCs w:val="21"/>
        </w:rPr>
      </w:pPr>
      <w:r>
        <w:rPr>
          <w:rFonts w:ascii="宋体" w:hAnsi="宋体" w:eastAsia="宋体" w:cs="Arial"/>
          <w:szCs w:val="21"/>
        </w:rPr>
        <w:t>转供电主体和被转供电主体按照转供绿电协议履约；</w:t>
      </w:r>
    </w:p>
    <w:p w14:paraId="6A9AC5E9">
      <w:pPr>
        <w:spacing w:line="288" w:lineRule="auto"/>
        <w:jc w:val="left"/>
        <w:rPr>
          <w:rFonts w:ascii="黑体" w:hAnsi="黑体" w:eastAsia="黑体" w:cs="Arial"/>
          <w:bCs/>
          <w:szCs w:val="21"/>
        </w:rPr>
      </w:pPr>
      <w:r>
        <w:rPr>
          <w:rFonts w:hint="eastAsia" w:ascii="黑体" w:hAnsi="黑体" w:eastAsia="黑体" w:cs="Arial"/>
          <w:bCs/>
          <w:szCs w:val="21"/>
        </w:rPr>
        <w:t xml:space="preserve">C.3 </w:t>
      </w:r>
      <w:r>
        <w:rPr>
          <w:rFonts w:ascii="黑体" w:hAnsi="黑体" w:eastAsia="黑体" w:cs="Arial"/>
          <w:bCs/>
          <w:szCs w:val="21"/>
        </w:rPr>
        <w:t>核算方法</w:t>
      </w:r>
    </w:p>
    <w:p w14:paraId="2CCDEB09">
      <w:pPr>
        <w:spacing w:line="288" w:lineRule="auto"/>
        <w:ind w:firstLine="420"/>
        <w:jc w:val="left"/>
        <w:rPr>
          <w:rFonts w:ascii="宋体" w:hAnsi="宋体" w:eastAsia="宋体" w:cs="Arial"/>
          <w:szCs w:val="21"/>
        </w:rPr>
      </w:pPr>
      <w:r>
        <w:rPr>
          <w:rFonts w:hint="eastAsia" w:ascii="宋体" w:hAnsi="宋体" w:eastAsia="宋体" w:cs="Arial"/>
          <w:szCs w:val="21"/>
        </w:rPr>
        <w:t>转供情形下租户绿电消费核算可基于以下步骤：</w:t>
      </w:r>
    </w:p>
    <w:p w14:paraId="4EA77E8B">
      <w:pPr>
        <w:numPr>
          <w:ilvl w:val="0"/>
          <w:numId w:val="17"/>
        </w:numPr>
        <w:spacing w:line="288" w:lineRule="auto"/>
        <w:jc w:val="left"/>
        <w:rPr>
          <w:rFonts w:ascii="宋体" w:hAnsi="宋体" w:eastAsia="宋体"/>
          <w:sz w:val="20"/>
          <w:szCs w:val="21"/>
        </w:rPr>
      </w:pPr>
      <w:r>
        <w:rPr>
          <w:rFonts w:ascii="宋体" w:hAnsi="宋体" w:eastAsia="宋体" w:cs="Arial"/>
          <w:szCs w:val="21"/>
        </w:rPr>
        <w:t>核查建筑业主与所有租户签订的转供绿电协议，确定转供电主体和终端用户的委托关系；</w:t>
      </w:r>
    </w:p>
    <w:p w14:paraId="0AAE80DA">
      <w:pPr>
        <w:numPr>
          <w:ilvl w:val="0"/>
          <w:numId w:val="17"/>
        </w:numPr>
        <w:spacing w:line="288" w:lineRule="auto"/>
        <w:jc w:val="left"/>
        <w:rPr>
          <w:rFonts w:ascii="宋体" w:hAnsi="宋体" w:eastAsia="宋体"/>
          <w:sz w:val="20"/>
          <w:szCs w:val="21"/>
        </w:rPr>
      </w:pPr>
      <w:r>
        <w:rPr>
          <w:rFonts w:ascii="宋体" w:hAnsi="宋体" w:eastAsia="宋体" w:cs="Arial"/>
          <w:szCs w:val="21"/>
        </w:rPr>
        <w:t>核查建筑整体的绿电消费；</w:t>
      </w:r>
    </w:p>
    <w:p w14:paraId="6391E351">
      <w:pPr>
        <w:numPr>
          <w:ilvl w:val="0"/>
          <w:numId w:val="17"/>
        </w:numPr>
        <w:spacing w:line="288" w:lineRule="auto"/>
        <w:jc w:val="left"/>
        <w:rPr>
          <w:rFonts w:ascii="宋体" w:hAnsi="宋体" w:eastAsia="宋体"/>
          <w:sz w:val="20"/>
          <w:szCs w:val="21"/>
        </w:rPr>
      </w:pPr>
      <w:r>
        <w:rPr>
          <w:rFonts w:ascii="宋体" w:hAnsi="宋体" w:eastAsia="宋体" w:cs="Arial"/>
          <w:szCs w:val="21"/>
        </w:rPr>
        <w:t>核算所有租户的转供电结算数据（数据源头包含计量设备（电表）、结算凭证等）和建筑业主用电结算数据与绿电消费数据的一致性，确定各主体的用电情况；</w:t>
      </w:r>
    </w:p>
    <w:p w14:paraId="6ECA7623">
      <w:pPr>
        <w:numPr>
          <w:ilvl w:val="0"/>
          <w:numId w:val="17"/>
        </w:numPr>
        <w:spacing w:line="288" w:lineRule="auto"/>
        <w:jc w:val="left"/>
        <w:rPr>
          <w:rFonts w:ascii="宋体" w:hAnsi="宋体" w:eastAsia="宋体"/>
          <w:sz w:val="20"/>
          <w:szCs w:val="21"/>
        </w:rPr>
      </w:pPr>
      <w:r>
        <w:rPr>
          <w:rFonts w:ascii="宋体" w:hAnsi="宋体" w:eastAsia="宋体" w:cs="Arial"/>
          <w:szCs w:val="21"/>
        </w:rPr>
        <w:t>确定租户绿电消费量。</w:t>
      </w:r>
    </w:p>
    <w:p w14:paraId="223C619C">
      <w:pPr>
        <w:spacing w:line="288" w:lineRule="auto"/>
        <w:ind w:firstLine="420"/>
        <w:jc w:val="left"/>
        <w:rPr>
          <w:rFonts w:ascii="宋体" w:hAnsi="宋体" w:eastAsia="宋体"/>
          <w:sz w:val="20"/>
          <w:szCs w:val="21"/>
        </w:rPr>
      </w:pPr>
      <w:r>
        <w:rPr>
          <w:rFonts w:ascii="宋体" w:hAnsi="宋体" w:eastAsia="宋体" w:cs="Arial"/>
          <w:szCs w:val="21"/>
        </w:rPr>
        <w:t>转供电主体的绿</w:t>
      </w:r>
      <w:r>
        <w:rPr>
          <w:rFonts w:hint="eastAsia" w:ascii="宋体" w:hAnsi="宋体" w:eastAsia="宋体" w:cs="Arial"/>
          <w:szCs w:val="21"/>
        </w:rPr>
        <w:t>电消费</w:t>
      </w:r>
      <w:r>
        <w:rPr>
          <w:rFonts w:ascii="宋体" w:hAnsi="宋体" w:eastAsia="宋体" w:cs="Arial"/>
          <w:szCs w:val="21"/>
        </w:rPr>
        <w:t>量按照公式(1)计算。</w:t>
      </w:r>
    </w:p>
    <w:p w14:paraId="5291EBF6">
      <w:pPr>
        <w:spacing w:line="288" w:lineRule="auto"/>
        <w:ind w:firstLine="420"/>
        <w:jc w:val="left"/>
        <w:rPr>
          <w:rFonts w:ascii="宋体" w:hAnsi="宋体" w:eastAsia="宋体"/>
          <w:szCs w:val="21"/>
        </w:rPr>
      </w:pPr>
      <m:oMathPara>
        <m:oMath>
          <m:eqArr>
            <m:eqArrPr>
              <m:maxDist m:val="1"/>
              <m:ctrlPr>
                <w:rPr>
                  <w:rFonts w:ascii="Cambria Math" w:hAnsi="Cambria Math" w:eastAsia="宋体"/>
                  <w:i/>
                  <w:szCs w:val="21"/>
                </w:rPr>
              </m:ctrlPr>
            </m:eqArrPr>
            <m:e>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转供电主体绿电消费量</m:t>
                  </m:r>
                  <m:ctrlPr>
                    <w:rPr>
                      <w:rFonts w:ascii="Cambria Math" w:hAnsi="Cambria Math" w:eastAsia="宋体" w:cs="Arial"/>
                      <w:i/>
                      <w:szCs w:val="21"/>
                    </w:rPr>
                  </m:ctrlPr>
                </m:sub>
              </m:sSub>
              <m:r>
                <m:rPr/>
                <w:rPr>
                  <w:rFonts w:ascii="Cambria Math" w:hAnsi="Cambria Math" w:eastAsia="宋体" w:cs="Arial"/>
                  <w:szCs w:val="21"/>
                </w:rPr>
                <m:t xml:space="preserve">= </m:t>
              </m:r>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绿电获取总量</m:t>
                  </m:r>
                  <m:ctrlPr>
                    <w:rPr>
                      <w:rFonts w:ascii="Cambria Math" w:hAnsi="Cambria Math" w:eastAsia="宋体" w:cs="Arial"/>
                      <w:i/>
                      <w:szCs w:val="21"/>
                    </w:rPr>
                  </m:ctrlPr>
                </m:sub>
              </m:sSub>
              <m:r>
                <m:rPr/>
                <w:rPr>
                  <w:rFonts w:ascii="Cambria Math" w:hAnsi="Cambria Math" w:eastAsia="宋体" w:cs="Arial"/>
                  <w:szCs w:val="21"/>
                </w:rPr>
                <m:t xml:space="preserve">− </m:t>
              </m:r>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转供绿电量</m:t>
                  </m:r>
                  <m:ctrlPr>
                    <w:rPr>
                      <w:rFonts w:ascii="Cambria Math" w:hAnsi="Cambria Math" w:eastAsia="宋体" w:cs="Arial"/>
                      <w:i/>
                      <w:szCs w:val="21"/>
                    </w:rPr>
                  </m:ctrlPr>
                </m:sub>
              </m:sSub>
              <m:r>
                <m:rPr/>
                <w:rPr>
                  <w:rFonts w:ascii="Cambria Math" w:hAnsi="Cambria Math" w:eastAsia="宋体" w:cs="Arial"/>
                  <w:szCs w:val="21"/>
                </w:rPr>
                <m:t>#</m:t>
              </m:r>
              <m:d>
                <m:dPr>
                  <m:ctrlPr>
                    <w:rPr>
                      <w:rFonts w:ascii="Cambria Math" w:hAnsi="Cambria Math" w:eastAsia="宋体"/>
                      <w:i/>
                      <w:szCs w:val="21"/>
                    </w:rPr>
                  </m:ctrlPr>
                </m:dPr>
                <m:e>
                  <m:r>
                    <m:rPr/>
                    <w:rPr>
                      <w:rFonts w:ascii="Cambria Math" w:hAnsi="Cambria Math" w:eastAsia="宋体"/>
                      <w:szCs w:val="21"/>
                    </w:rPr>
                    <m:t>1</m:t>
                  </m:r>
                  <m:ctrlPr>
                    <w:rPr>
                      <w:rFonts w:ascii="Cambria Math" w:hAnsi="Cambria Math" w:eastAsia="宋体"/>
                      <w:i/>
                      <w:szCs w:val="21"/>
                    </w:rPr>
                  </m:ctrlPr>
                </m:e>
              </m:d>
              <m:ctrlPr>
                <w:rPr>
                  <w:rFonts w:ascii="Cambria Math" w:hAnsi="Cambria Math" w:eastAsia="宋体" w:cs="Arial"/>
                  <w:i/>
                  <w:szCs w:val="21"/>
                </w:rPr>
              </m:ctrlPr>
            </m:e>
          </m:eqArr>
        </m:oMath>
      </m:oMathPara>
    </w:p>
    <w:p w14:paraId="26E00855">
      <w:pPr>
        <w:spacing w:line="288" w:lineRule="auto"/>
        <w:ind w:firstLine="420"/>
        <w:jc w:val="left"/>
        <w:rPr>
          <w:rFonts w:ascii="宋体" w:hAnsi="宋体" w:eastAsia="宋体"/>
          <w:sz w:val="20"/>
          <w:szCs w:val="21"/>
        </w:rPr>
      </w:pPr>
      <w:r>
        <w:rPr>
          <w:rFonts w:ascii="宋体" w:hAnsi="宋体" w:eastAsia="宋体" w:cs="Arial"/>
          <w:szCs w:val="21"/>
        </w:rPr>
        <w:t>式中：</w:t>
      </w:r>
    </w:p>
    <w:p w14:paraId="7BAC60D2">
      <w:pPr>
        <w:spacing w:line="288" w:lineRule="auto"/>
        <w:ind w:firstLine="420"/>
        <w:jc w:val="left"/>
        <w:rPr>
          <w:rFonts w:ascii="宋体" w:hAnsi="宋体" w:eastAsia="宋体"/>
          <w:sz w:val="20"/>
          <w:szCs w:val="21"/>
        </w:rPr>
      </w:pPr>
      <m:oMath>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绿电获取总量</m:t>
            </m:r>
            <m:ctrlPr>
              <w:rPr>
                <w:rFonts w:ascii="Cambria Math" w:hAnsi="Cambria Math" w:eastAsia="宋体" w:cs="Arial"/>
                <w:i/>
                <w:szCs w:val="21"/>
              </w:rPr>
            </m:ctrlPr>
          </m:sub>
        </m:sSub>
      </m:oMath>
      <w:r>
        <w:rPr>
          <w:rFonts w:ascii="宋体" w:hAnsi="宋体" w:eastAsia="宋体" w:cs="Arial"/>
          <w:i/>
          <w:szCs w:val="21"/>
        </w:rPr>
        <w:t>——</w:t>
      </w:r>
      <w:r>
        <w:rPr>
          <w:rFonts w:ascii="宋体" w:hAnsi="宋体" w:eastAsia="宋体" w:cs="Arial"/>
          <w:szCs w:val="21"/>
        </w:rPr>
        <w:t>绿电获取总量为通过各类方式获取的绿电量之和，单位为千瓦时（kWh）；</w:t>
      </w:r>
    </w:p>
    <w:p w14:paraId="1F0B499F">
      <w:pPr>
        <w:spacing w:line="288" w:lineRule="auto"/>
        <w:ind w:firstLine="420"/>
        <w:jc w:val="left"/>
        <w:rPr>
          <w:rFonts w:ascii="宋体" w:hAnsi="宋体" w:eastAsia="宋体"/>
          <w:iCs/>
          <w:sz w:val="20"/>
          <w:szCs w:val="21"/>
        </w:rPr>
      </w:pPr>
      <m:oMath>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转供绿电量</m:t>
            </m:r>
            <m:ctrlPr>
              <w:rPr>
                <w:rFonts w:ascii="Cambria Math" w:hAnsi="Cambria Math" w:eastAsia="宋体" w:cs="Arial"/>
                <w:i/>
                <w:szCs w:val="21"/>
              </w:rPr>
            </m:ctrlPr>
          </m:sub>
        </m:sSub>
      </m:oMath>
      <w:r>
        <w:rPr>
          <w:rFonts w:ascii="宋体" w:hAnsi="宋体" w:eastAsia="宋体" w:cs="Arial"/>
          <w:i/>
          <w:szCs w:val="21"/>
        </w:rPr>
        <w:t>——</w:t>
      </w:r>
      <w:r>
        <w:rPr>
          <w:rFonts w:ascii="宋体" w:hAnsi="宋体" w:eastAsia="宋体" w:cs="Arial"/>
          <w:iCs/>
          <w:szCs w:val="21"/>
        </w:rPr>
        <w:t>转供给租户绿电量，单位为千瓦时（kWh）。</w:t>
      </w:r>
    </w:p>
    <w:p w14:paraId="107F4251">
      <w:pPr>
        <w:spacing w:line="288" w:lineRule="auto"/>
        <w:ind w:firstLine="420"/>
        <w:jc w:val="left"/>
        <w:rPr>
          <w:rFonts w:ascii="宋体" w:hAnsi="宋体" w:eastAsia="宋体"/>
          <w:sz w:val="20"/>
          <w:szCs w:val="21"/>
        </w:rPr>
      </w:pPr>
      <w:r>
        <w:rPr>
          <w:rFonts w:ascii="宋体" w:hAnsi="宋体" w:eastAsia="宋体" w:cs="Arial"/>
          <w:szCs w:val="21"/>
        </w:rPr>
        <w:t>转供电终端用户绿电消费量按照公式(2)计算被转供电主体的。</w:t>
      </w:r>
    </w:p>
    <w:p w14:paraId="7D1FD4A5">
      <w:pPr>
        <w:spacing w:line="288" w:lineRule="auto"/>
        <w:jc w:val="center"/>
        <w:rPr>
          <w:rFonts w:ascii="宋体" w:hAnsi="宋体" w:eastAsia="宋体"/>
          <w:szCs w:val="21"/>
        </w:rPr>
      </w:pPr>
      <m:oMathPara>
        <m:oMath>
          <m:eqArr>
            <m:eqArrPr>
              <m:maxDist m:val="1"/>
              <m:ctrlPr>
                <w:rPr>
                  <w:rFonts w:ascii="Cambria Math" w:hAnsi="Cambria Math" w:eastAsia="宋体" w:cs="Arial"/>
                  <w:i/>
                  <w:szCs w:val="21"/>
                </w:rPr>
              </m:ctrlPr>
            </m:eqArrPr>
            <m:e>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被转供电主体绿电总消纳量</m:t>
                  </m:r>
                  <m:ctrlPr>
                    <w:rPr>
                      <w:rFonts w:ascii="Cambria Math" w:hAnsi="Cambria Math" w:eastAsia="宋体" w:cs="Arial"/>
                      <w:i/>
                      <w:szCs w:val="21"/>
                    </w:rPr>
                  </m:ctrlPr>
                </m:sub>
              </m:sSub>
              <m:r>
                <m:rPr/>
                <w:rPr>
                  <w:rFonts w:ascii="Cambria Math" w:hAnsi="Cambria Math" w:eastAsia="宋体" w:cs="Arial"/>
                  <w:szCs w:val="21"/>
                </w:rPr>
                <m:t xml:space="preserve">= </m:t>
              </m:r>
              <m:sSub>
                <m:sSubPr>
                  <m:ctrlPr>
                    <w:rPr>
                      <w:rFonts w:ascii="Cambria Math" w:hAnsi="Cambria Math" w:eastAsia="宋体" w:cs="Arial"/>
                      <w:i/>
                      <w:szCs w:val="21"/>
                    </w:rPr>
                  </m:ctrlPr>
                </m:sSubPr>
                <m:e>
                  <m:r>
                    <m:rPr/>
                    <w:rPr>
                      <w:rFonts w:ascii="Cambria Math" w:hAnsi="Cambria Math" w:eastAsia="宋体" w:cs="Arial"/>
                      <w:szCs w:val="21"/>
                    </w:rPr>
                    <m:t>E</m:t>
                  </m:r>
                  <m:ctrlPr>
                    <w:rPr>
                      <w:rFonts w:ascii="Cambria Math" w:hAnsi="Cambria Math" w:eastAsia="宋体" w:cs="Arial"/>
                      <w:i/>
                      <w:szCs w:val="21"/>
                    </w:rPr>
                  </m:ctrlPr>
                </m:e>
                <m:sub>
                  <m:r>
                    <m:rPr/>
                    <w:rPr>
                      <w:rFonts w:ascii="Cambria Math" w:hAnsi="Cambria Math" w:eastAsia="宋体" w:cs="Arial"/>
                      <w:szCs w:val="21"/>
                    </w:rPr>
                    <m:t>转供绿电量</m:t>
                  </m:r>
                  <m:ctrlPr>
                    <w:rPr>
                      <w:rFonts w:ascii="Cambria Math" w:hAnsi="Cambria Math" w:eastAsia="宋体" w:cs="Arial"/>
                      <w:i/>
                      <w:szCs w:val="21"/>
                    </w:rPr>
                  </m:ctrlPr>
                </m:sub>
              </m:sSub>
              <m:r>
                <m:rPr/>
                <w:rPr>
                  <w:rFonts w:ascii="Cambria Math" w:hAnsi="Cambria Math" w:eastAsia="宋体" w:cs="Arial"/>
                  <w:szCs w:val="21"/>
                </w:rPr>
                <m:t>#</m:t>
              </m:r>
              <m:d>
                <m:dPr>
                  <m:begChr m:val="（"/>
                  <m:endChr m:val="）"/>
                  <m:ctrlPr>
                    <w:rPr>
                      <w:rFonts w:ascii="Cambria Math" w:hAnsi="Cambria Math" w:eastAsia="宋体" w:cs="Arial"/>
                      <w:i/>
                      <w:szCs w:val="21"/>
                    </w:rPr>
                  </m:ctrlPr>
                </m:dPr>
                <m:e>
                  <m:r>
                    <m:rPr/>
                    <w:rPr>
                      <w:rFonts w:ascii="Cambria Math" w:hAnsi="Cambria Math" w:eastAsia="宋体" w:cs="Arial"/>
                      <w:szCs w:val="21"/>
                    </w:rPr>
                    <m:t>2</m:t>
                  </m:r>
                  <m:ctrlPr>
                    <w:rPr>
                      <w:rFonts w:ascii="Cambria Math" w:hAnsi="Cambria Math" w:eastAsia="宋体" w:cs="Arial"/>
                      <w:i/>
                      <w:szCs w:val="21"/>
                    </w:rPr>
                  </m:ctrlPr>
                </m:e>
              </m:d>
              <m:ctrlPr>
                <w:rPr>
                  <w:rFonts w:ascii="Cambria Math" w:hAnsi="Cambria Math" w:eastAsia="宋体" w:cs="Arial"/>
                  <w:i/>
                  <w:szCs w:val="21"/>
                </w:rPr>
              </m:ctrlPr>
            </m:e>
          </m:eqArr>
          <m:r>
            <m:rPr/>
            <w:rPr>
              <w:rFonts w:ascii="Cambria Math" w:hAnsi="Cambria Math" w:eastAsia="宋体" w:cs="Arial"/>
              <w:szCs w:val="21"/>
            </w:rPr>
            <m:t xml:space="preserve"> </m:t>
          </m:r>
        </m:oMath>
      </m:oMathPara>
    </w:p>
    <w:p w14:paraId="492DB920">
      <w:pPr>
        <w:spacing w:line="288" w:lineRule="auto"/>
        <w:jc w:val="left"/>
        <w:rPr>
          <w:rFonts w:ascii="黑体" w:hAnsi="黑体" w:eastAsia="黑体" w:cs="Arial"/>
          <w:bCs/>
          <w:szCs w:val="21"/>
        </w:rPr>
      </w:pPr>
      <w:r>
        <w:rPr>
          <w:rFonts w:hint="eastAsia" w:ascii="黑体" w:hAnsi="黑体" w:eastAsia="黑体" w:cs="Arial"/>
          <w:bCs/>
          <w:szCs w:val="21"/>
        </w:rPr>
        <w:t xml:space="preserve">C.4 </w:t>
      </w:r>
      <w:r>
        <w:rPr>
          <w:rFonts w:ascii="黑体" w:hAnsi="黑体" w:eastAsia="黑体" w:cs="Arial"/>
          <w:bCs/>
          <w:szCs w:val="21"/>
        </w:rPr>
        <w:t>租户绿电消费声明</w:t>
      </w:r>
    </w:p>
    <w:p w14:paraId="7A23CBC6">
      <w:pPr>
        <w:spacing w:line="288" w:lineRule="auto"/>
        <w:ind w:left="420" w:leftChars="200"/>
        <w:jc w:val="left"/>
        <w:rPr>
          <w:rFonts w:ascii="宋体" w:hAnsi="宋体" w:eastAsia="宋体"/>
          <w:sz w:val="20"/>
          <w:szCs w:val="21"/>
        </w:rPr>
      </w:pPr>
      <w:r>
        <w:rPr>
          <w:rFonts w:ascii="宋体" w:hAnsi="宋体" w:eastAsia="宋体" w:cs="Arial"/>
          <w:szCs w:val="21"/>
        </w:rPr>
        <w:t>租户开展绿电消费信息披露应满足如下要求：</w:t>
      </w:r>
    </w:p>
    <w:p w14:paraId="4A4D7240">
      <w:pPr>
        <w:numPr>
          <w:ilvl w:val="0"/>
          <w:numId w:val="18"/>
        </w:numPr>
        <w:spacing w:line="288" w:lineRule="auto"/>
        <w:jc w:val="left"/>
        <w:rPr>
          <w:rFonts w:ascii="宋体" w:hAnsi="宋体" w:eastAsia="宋体"/>
          <w:sz w:val="20"/>
          <w:szCs w:val="21"/>
        </w:rPr>
      </w:pPr>
      <w:r>
        <w:rPr>
          <w:rFonts w:ascii="宋体" w:hAnsi="宋体" w:eastAsia="宋体" w:cs="Arial"/>
          <w:szCs w:val="21"/>
        </w:rPr>
        <w:t>绿电消费量满足上述核算要求；</w:t>
      </w:r>
    </w:p>
    <w:p w14:paraId="1824DCE4">
      <w:pPr>
        <w:numPr>
          <w:ilvl w:val="0"/>
          <w:numId w:val="18"/>
        </w:numPr>
        <w:spacing w:line="288" w:lineRule="auto"/>
        <w:jc w:val="left"/>
        <w:rPr>
          <w:rFonts w:ascii="宋体" w:hAnsi="宋体" w:eastAsia="宋体" w:cs="Arial"/>
          <w:szCs w:val="21"/>
        </w:rPr>
      </w:pPr>
      <w:r>
        <w:rPr>
          <w:rFonts w:ascii="宋体" w:hAnsi="宋体" w:eastAsia="宋体" w:cs="Arial"/>
          <w:szCs w:val="21"/>
        </w:rPr>
        <w:t>转供电主体已经同时声明此部分绿电专门为租户采购且能够被计量设备或结算凭证证明已经被租户消费</w:t>
      </w:r>
      <w:r>
        <w:rPr>
          <w:rFonts w:hint="eastAsia" w:ascii="宋体" w:hAnsi="宋体" w:eastAsia="宋体" w:cs="Arial"/>
          <w:szCs w:val="21"/>
        </w:rPr>
        <w:t>。</w:t>
      </w:r>
    </w:p>
    <w:p w14:paraId="72D301CC">
      <w:pPr>
        <w:widowControl/>
        <w:jc w:val="left"/>
        <w:rPr>
          <w:rFonts w:ascii="Arial" w:hAnsi="Arial" w:eastAsia="等线" w:cs="Arial"/>
          <w:sz w:val="22"/>
        </w:rPr>
      </w:pPr>
      <w:r>
        <w:rPr>
          <w:rFonts w:ascii="Arial" w:hAnsi="Arial" w:eastAsia="等线" w:cs="Arial"/>
          <w:sz w:val="22"/>
        </w:rPr>
        <w:br w:type="page"/>
      </w:r>
    </w:p>
    <w:p w14:paraId="5BAC2393">
      <w:pPr>
        <w:spacing w:before="300" w:after="120" w:line="288" w:lineRule="auto"/>
        <w:jc w:val="center"/>
        <w:outlineLvl w:val="2"/>
        <w:rPr>
          <w:rFonts w:ascii="Arial" w:hAnsi="Arial" w:eastAsia="等线" w:cs="Arial"/>
          <w:b/>
          <w:sz w:val="30"/>
        </w:rPr>
      </w:pPr>
      <w:bookmarkStart w:id="66" w:name="heading_44"/>
      <w:r>
        <w:rPr>
          <w:rStyle w:val="22"/>
          <w:rFonts w:hint="eastAsia" w:ascii="黑体" w:hAnsi="黑体" w:eastAsia="黑体"/>
          <w:color w:val="000000"/>
          <w:szCs w:val="21"/>
          <w:shd w:val="clear" w:color="auto" w:fill="FFFFFF"/>
        </w:rPr>
        <w:t>附 录 C</w:t>
      </w:r>
    </w:p>
    <w:p w14:paraId="0EBF4953">
      <w:pPr>
        <w:spacing w:line="360" w:lineRule="auto"/>
        <w:jc w:val="center"/>
        <w:rPr>
          <w:rFonts w:ascii="黑体" w:hAnsi="黑体" w:eastAsia="黑体" w:cs="Arial"/>
          <w:bCs/>
          <w:szCs w:val="21"/>
        </w:rPr>
      </w:pPr>
      <w:r>
        <w:rPr>
          <w:rFonts w:hint="eastAsia" w:ascii="黑体" w:hAnsi="黑体" w:eastAsia="黑体" w:cs="Arial"/>
          <w:bCs/>
          <w:szCs w:val="21"/>
        </w:rPr>
        <w:t>（资料性）</w:t>
      </w:r>
    </w:p>
    <w:p w14:paraId="40477A4F">
      <w:pPr>
        <w:jc w:val="center"/>
        <w:rPr>
          <w:rFonts w:ascii="黑体" w:hAnsi="黑体" w:eastAsia="黑体" w:cs="Arial"/>
          <w:bCs/>
          <w:szCs w:val="21"/>
        </w:rPr>
      </w:pPr>
      <w:r>
        <w:rPr>
          <w:rFonts w:ascii="黑体" w:hAnsi="黑体" w:eastAsia="黑体" w:cs="Arial"/>
          <w:bCs/>
          <w:szCs w:val="21"/>
        </w:rPr>
        <w:t>商业楼宇碳信息披露指引</w:t>
      </w:r>
      <w:bookmarkEnd w:id="66"/>
    </w:p>
    <w:p w14:paraId="5057E9E9">
      <w:pPr>
        <w:spacing w:before="120" w:after="120" w:line="288" w:lineRule="auto"/>
        <w:jc w:val="left"/>
      </w:pPr>
    </w:p>
    <w:p w14:paraId="6204E68C">
      <w:pPr>
        <w:widowControl/>
        <w:jc w:val="left"/>
      </w:pPr>
      <w:r>
        <w:br w:type="page"/>
      </w:r>
    </w:p>
    <w:p w14:paraId="3A4C3688">
      <w:pPr>
        <w:widowControl/>
        <w:jc w:val="left"/>
      </w:pPr>
    </w:p>
    <w:p w14:paraId="79A2373C">
      <w:pPr>
        <w:spacing w:before="300" w:after="120" w:line="288" w:lineRule="auto"/>
        <w:jc w:val="center"/>
        <w:outlineLvl w:val="2"/>
        <w:rPr>
          <w:rFonts w:ascii="Arial" w:hAnsi="Arial" w:eastAsia="等线" w:cs="Arial"/>
          <w:b/>
          <w:sz w:val="30"/>
        </w:rPr>
      </w:pPr>
      <w:bookmarkStart w:id="67" w:name="heading_45"/>
      <w:r>
        <w:rPr>
          <w:rStyle w:val="22"/>
          <w:rFonts w:hint="eastAsia" w:ascii="黑体" w:hAnsi="黑体" w:eastAsia="黑体"/>
          <w:color w:val="000000"/>
          <w:szCs w:val="21"/>
          <w:shd w:val="clear" w:color="auto" w:fill="FFFFFF"/>
        </w:rPr>
        <w:t>附 录 D</w:t>
      </w:r>
    </w:p>
    <w:p w14:paraId="42A6A132">
      <w:pPr>
        <w:spacing w:line="360" w:lineRule="auto"/>
        <w:jc w:val="center"/>
        <w:rPr>
          <w:rFonts w:ascii="黑体" w:hAnsi="黑体" w:eastAsia="黑体" w:cs="Arial"/>
          <w:bCs/>
          <w:szCs w:val="21"/>
        </w:rPr>
      </w:pPr>
      <w:r>
        <w:rPr>
          <w:rFonts w:hint="eastAsia" w:ascii="黑体" w:hAnsi="黑体" w:eastAsia="黑体" w:cs="Arial"/>
          <w:bCs/>
          <w:szCs w:val="21"/>
        </w:rPr>
        <w:t>（规范性）</w:t>
      </w:r>
    </w:p>
    <w:p w14:paraId="6EBC7737">
      <w:pPr>
        <w:spacing w:line="360" w:lineRule="auto"/>
        <w:jc w:val="center"/>
        <w:rPr>
          <w:rFonts w:ascii="黑体" w:hAnsi="黑体" w:eastAsia="黑体" w:cs="Arial"/>
          <w:bCs/>
          <w:szCs w:val="21"/>
        </w:rPr>
      </w:pPr>
      <w:r>
        <w:rPr>
          <w:rFonts w:hint="eastAsia" w:ascii="黑体" w:hAnsi="黑体" w:eastAsia="黑体" w:cs="Arial"/>
          <w:bCs/>
          <w:szCs w:val="21"/>
        </w:rPr>
        <w:t>评价</w:t>
      </w:r>
      <w:r>
        <w:rPr>
          <w:rFonts w:ascii="黑体" w:hAnsi="黑体" w:eastAsia="黑体" w:cs="Arial"/>
          <w:bCs/>
          <w:szCs w:val="21"/>
        </w:rPr>
        <w:t>申请材料</w:t>
      </w:r>
      <w:bookmarkEnd w:id="67"/>
    </w:p>
    <w:p w14:paraId="0E9C9CDA">
      <w:pPr>
        <w:spacing w:line="360" w:lineRule="auto"/>
        <w:jc w:val="center"/>
        <w:rPr>
          <w:rFonts w:ascii="黑体" w:hAnsi="黑体" w:eastAsia="黑体"/>
          <w:bCs/>
          <w:szCs w:val="21"/>
        </w:rPr>
      </w:pPr>
    </w:p>
    <w:p w14:paraId="19D82DA6">
      <w:pPr>
        <w:spacing w:line="360" w:lineRule="auto"/>
        <w:jc w:val="center"/>
        <w:rPr>
          <w:rFonts w:ascii="黑体" w:hAnsi="黑体" w:eastAsia="黑体"/>
          <w:bCs/>
          <w:szCs w:val="21"/>
        </w:rPr>
      </w:pPr>
      <w:r>
        <w:rPr>
          <w:rFonts w:hint="eastAsia" w:ascii="黑体" w:hAnsi="黑体" w:eastAsia="黑体"/>
          <w:bCs/>
          <w:szCs w:val="21"/>
        </w:rPr>
        <w:t>表.评价申请应提交材料或信息</w:t>
      </w:r>
    </w:p>
    <w:tbl>
      <w:tblPr>
        <w:tblStyle w:val="10"/>
        <w:tblW w:w="8931" w:type="dxa"/>
        <w:tblInd w:w="1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 w:type="dxa"/>
          <w:bottom w:w="0" w:type="dxa"/>
          <w:right w:w="10" w:type="dxa"/>
        </w:tblCellMar>
      </w:tblPr>
      <w:tblGrid>
        <w:gridCol w:w="3261"/>
        <w:gridCol w:w="1134"/>
        <w:gridCol w:w="1134"/>
        <w:gridCol w:w="1134"/>
        <w:gridCol w:w="992"/>
        <w:gridCol w:w="1276"/>
      </w:tblGrid>
      <w:tr w14:paraId="39DA67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8" w:space="0"/>
              <w:bottom w:val="single" w:color="auto" w:sz="8" w:space="0"/>
            </w:tcBorders>
            <w:tcMar>
              <w:top w:w="60" w:type="dxa"/>
              <w:left w:w="120" w:type="dxa"/>
              <w:bottom w:w="30" w:type="dxa"/>
              <w:right w:w="120" w:type="dxa"/>
            </w:tcMar>
            <w:vAlign w:val="center"/>
          </w:tcPr>
          <w:p w14:paraId="4F36731D">
            <w:pPr>
              <w:spacing w:line="288" w:lineRule="auto"/>
              <w:jc w:val="center"/>
              <w:rPr>
                <w:rFonts w:ascii="宋体" w:hAnsi="宋体" w:eastAsia="宋体"/>
                <w:sz w:val="18"/>
                <w:szCs w:val="18"/>
              </w:rPr>
            </w:pPr>
            <w:r>
              <w:rPr>
                <w:rFonts w:ascii="宋体" w:hAnsi="宋体" w:eastAsia="宋体" w:cs="Arial"/>
                <w:sz w:val="18"/>
                <w:szCs w:val="18"/>
              </w:rPr>
              <w:t>提交材料/信息</w:t>
            </w:r>
          </w:p>
        </w:tc>
        <w:tc>
          <w:tcPr>
            <w:tcW w:w="1134" w:type="dxa"/>
            <w:tcBorders>
              <w:top w:val="single" w:color="auto" w:sz="8" w:space="0"/>
              <w:bottom w:val="single" w:color="auto" w:sz="8" w:space="0"/>
            </w:tcBorders>
            <w:tcMar>
              <w:top w:w="60" w:type="dxa"/>
              <w:left w:w="120" w:type="dxa"/>
              <w:bottom w:w="30" w:type="dxa"/>
              <w:right w:w="120" w:type="dxa"/>
            </w:tcMar>
            <w:vAlign w:val="center"/>
          </w:tcPr>
          <w:p w14:paraId="76EAFC5E">
            <w:pPr>
              <w:spacing w:line="288" w:lineRule="auto"/>
              <w:jc w:val="center"/>
              <w:rPr>
                <w:rFonts w:ascii="宋体" w:hAnsi="宋体" w:eastAsia="宋体"/>
                <w:sz w:val="18"/>
                <w:szCs w:val="18"/>
              </w:rPr>
            </w:pPr>
            <w:r>
              <w:rPr>
                <w:rFonts w:ascii="宋体" w:hAnsi="宋体" w:eastAsia="宋体" w:cs="Arial"/>
                <w:sz w:val="18"/>
                <w:szCs w:val="18"/>
              </w:rPr>
              <w:t>净零目标</w:t>
            </w:r>
          </w:p>
        </w:tc>
        <w:tc>
          <w:tcPr>
            <w:tcW w:w="1134" w:type="dxa"/>
            <w:tcBorders>
              <w:top w:val="single" w:color="auto" w:sz="8" w:space="0"/>
              <w:bottom w:val="single" w:color="auto" w:sz="8" w:space="0"/>
            </w:tcBorders>
            <w:tcMar>
              <w:top w:w="60" w:type="dxa"/>
              <w:left w:w="120" w:type="dxa"/>
              <w:bottom w:w="30" w:type="dxa"/>
              <w:right w:w="120" w:type="dxa"/>
            </w:tcMar>
            <w:vAlign w:val="center"/>
          </w:tcPr>
          <w:p w14:paraId="2FE0A460">
            <w:pPr>
              <w:spacing w:line="288" w:lineRule="auto"/>
              <w:jc w:val="center"/>
              <w:rPr>
                <w:rFonts w:ascii="宋体" w:hAnsi="宋体" w:eastAsia="宋体"/>
                <w:sz w:val="18"/>
                <w:szCs w:val="18"/>
              </w:rPr>
            </w:pPr>
            <w:r>
              <w:rPr>
                <w:rFonts w:ascii="宋体" w:hAnsi="宋体" w:eastAsia="宋体" w:cs="Arial"/>
                <w:sz w:val="18"/>
                <w:szCs w:val="18"/>
              </w:rPr>
              <w:t>净零进程</w:t>
            </w:r>
          </w:p>
        </w:tc>
        <w:tc>
          <w:tcPr>
            <w:tcW w:w="1134" w:type="dxa"/>
            <w:tcBorders>
              <w:top w:val="single" w:color="auto" w:sz="8" w:space="0"/>
              <w:bottom w:val="single" w:color="auto" w:sz="8" w:space="0"/>
            </w:tcBorders>
            <w:tcMar>
              <w:top w:w="60" w:type="dxa"/>
              <w:left w:w="120" w:type="dxa"/>
              <w:bottom w:w="30" w:type="dxa"/>
              <w:right w:w="120" w:type="dxa"/>
            </w:tcMar>
            <w:vAlign w:val="center"/>
          </w:tcPr>
          <w:p w14:paraId="580EC506">
            <w:pPr>
              <w:spacing w:line="288" w:lineRule="auto"/>
              <w:jc w:val="center"/>
              <w:rPr>
                <w:rFonts w:ascii="宋体" w:hAnsi="宋体" w:eastAsia="宋体"/>
                <w:sz w:val="18"/>
                <w:szCs w:val="18"/>
              </w:rPr>
            </w:pPr>
            <w:r>
              <w:rPr>
                <w:rFonts w:ascii="宋体" w:hAnsi="宋体" w:eastAsia="宋体" w:cs="Arial"/>
                <w:sz w:val="18"/>
                <w:szCs w:val="18"/>
              </w:rPr>
              <w:t>净零就绪</w:t>
            </w:r>
          </w:p>
        </w:tc>
        <w:tc>
          <w:tcPr>
            <w:tcW w:w="992" w:type="dxa"/>
            <w:tcBorders>
              <w:top w:val="single" w:color="auto" w:sz="8" w:space="0"/>
              <w:bottom w:val="single" w:color="auto" w:sz="8" w:space="0"/>
            </w:tcBorders>
            <w:tcMar>
              <w:top w:w="60" w:type="dxa"/>
              <w:left w:w="120" w:type="dxa"/>
              <w:bottom w:w="30" w:type="dxa"/>
              <w:right w:w="120" w:type="dxa"/>
            </w:tcMar>
            <w:vAlign w:val="center"/>
          </w:tcPr>
          <w:p w14:paraId="49A96254">
            <w:pPr>
              <w:spacing w:line="288" w:lineRule="auto"/>
              <w:jc w:val="center"/>
              <w:rPr>
                <w:rFonts w:ascii="宋体" w:hAnsi="宋体" w:eastAsia="宋体"/>
                <w:sz w:val="18"/>
                <w:szCs w:val="18"/>
              </w:rPr>
            </w:pPr>
            <w:r>
              <w:rPr>
                <w:rFonts w:ascii="宋体" w:hAnsi="宋体" w:eastAsia="宋体" w:cs="Arial"/>
                <w:sz w:val="18"/>
                <w:szCs w:val="18"/>
              </w:rPr>
              <w:t>净零达成</w:t>
            </w:r>
          </w:p>
        </w:tc>
        <w:tc>
          <w:tcPr>
            <w:tcW w:w="1276" w:type="dxa"/>
            <w:tcBorders>
              <w:top w:val="single" w:color="auto" w:sz="8" w:space="0"/>
              <w:bottom w:val="single" w:color="auto" w:sz="8" w:space="0"/>
            </w:tcBorders>
            <w:tcMar>
              <w:top w:w="60" w:type="dxa"/>
              <w:left w:w="120" w:type="dxa"/>
              <w:bottom w:w="30" w:type="dxa"/>
              <w:right w:w="120" w:type="dxa"/>
            </w:tcMar>
            <w:vAlign w:val="center"/>
          </w:tcPr>
          <w:p w14:paraId="022E009E">
            <w:pPr>
              <w:spacing w:line="288" w:lineRule="auto"/>
              <w:jc w:val="center"/>
              <w:rPr>
                <w:rFonts w:ascii="宋体" w:hAnsi="宋体" w:eastAsia="宋体"/>
                <w:sz w:val="18"/>
                <w:szCs w:val="18"/>
              </w:rPr>
            </w:pPr>
            <w:r>
              <w:rPr>
                <w:rFonts w:ascii="宋体" w:hAnsi="宋体" w:eastAsia="宋体" w:cs="Arial"/>
                <w:sz w:val="18"/>
                <w:szCs w:val="18"/>
              </w:rPr>
              <w:t>碳中和达成</w:t>
            </w:r>
          </w:p>
        </w:tc>
      </w:tr>
      <w:tr w14:paraId="552F26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8" w:space="0"/>
              <w:bottom w:val="single" w:color="auto" w:sz="4" w:space="0"/>
              <w:right w:val="single" w:color="auto" w:sz="4" w:space="0"/>
            </w:tcBorders>
            <w:tcMar>
              <w:top w:w="60" w:type="dxa"/>
              <w:left w:w="120" w:type="dxa"/>
              <w:bottom w:w="30" w:type="dxa"/>
              <w:right w:w="120" w:type="dxa"/>
            </w:tcMar>
            <w:vAlign w:val="center"/>
          </w:tcPr>
          <w:p w14:paraId="776FA491">
            <w:pPr>
              <w:spacing w:line="288" w:lineRule="auto"/>
              <w:rPr>
                <w:rFonts w:ascii="宋体" w:hAnsi="宋体" w:eastAsia="宋体" w:cs="Arial"/>
                <w:sz w:val="18"/>
                <w:szCs w:val="18"/>
              </w:rPr>
            </w:pPr>
            <w:r>
              <w:rPr>
                <w:rFonts w:hint="eastAsia" w:ascii="宋体" w:hAnsi="宋体" w:eastAsia="宋体" w:cs="Arial"/>
                <w:sz w:val="18"/>
                <w:szCs w:val="18"/>
              </w:rPr>
              <w:t>建筑基本信息</w:t>
            </w:r>
          </w:p>
          <w:p w14:paraId="19A89747">
            <w:pPr>
              <w:spacing w:line="288" w:lineRule="auto"/>
              <w:rPr>
                <w:rFonts w:ascii="宋体" w:hAnsi="宋体" w:eastAsia="宋体" w:cs="Arial"/>
                <w:sz w:val="18"/>
                <w:szCs w:val="18"/>
              </w:rPr>
            </w:pPr>
            <w:r>
              <w:rPr>
                <w:rFonts w:hint="eastAsia" w:ascii="宋体" w:hAnsi="宋体" w:eastAsia="宋体" w:cs="Arial"/>
                <w:sz w:val="18"/>
                <w:szCs w:val="18"/>
              </w:rPr>
              <w:t>（名称、地址、业主、类型）</w:t>
            </w:r>
          </w:p>
        </w:tc>
        <w:tc>
          <w:tcPr>
            <w:tcW w:w="1134"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3C0350A">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1134"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FBFADF4">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1134"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7814414">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992"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51D9652">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1276" w:type="dxa"/>
            <w:tcBorders>
              <w:top w:val="single" w:color="auto" w:sz="8" w:space="0"/>
              <w:left w:val="single" w:color="auto" w:sz="4" w:space="0"/>
              <w:bottom w:val="single" w:color="auto" w:sz="4" w:space="0"/>
            </w:tcBorders>
            <w:tcMar>
              <w:top w:w="60" w:type="dxa"/>
              <w:left w:w="120" w:type="dxa"/>
              <w:bottom w:w="30" w:type="dxa"/>
              <w:right w:w="120" w:type="dxa"/>
            </w:tcMar>
            <w:vAlign w:val="center"/>
          </w:tcPr>
          <w:p w14:paraId="3B1CA693">
            <w:pPr>
              <w:spacing w:line="288" w:lineRule="auto"/>
              <w:jc w:val="center"/>
              <w:rPr>
                <w:rFonts w:ascii="宋体" w:hAnsi="宋体" w:eastAsia="宋体" w:cs="Arial"/>
                <w:sz w:val="18"/>
                <w:szCs w:val="18"/>
              </w:rPr>
            </w:pPr>
            <w:r>
              <w:rPr>
                <w:rFonts w:ascii="宋体" w:hAnsi="宋体" w:eastAsia="宋体" w:cs="Arial"/>
                <w:sz w:val="18"/>
                <w:szCs w:val="18"/>
              </w:rPr>
              <w:t>应提交</w:t>
            </w:r>
          </w:p>
        </w:tc>
      </w:tr>
      <w:tr w14:paraId="1D6AB6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8" w:space="0"/>
              <w:bottom w:val="single" w:color="auto" w:sz="4" w:space="0"/>
              <w:right w:val="single" w:color="auto" w:sz="4" w:space="0"/>
            </w:tcBorders>
            <w:tcMar>
              <w:top w:w="60" w:type="dxa"/>
              <w:left w:w="120" w:type="dxa"/>
              <w:bottom w:w="30" w:type="dxa"/>
              <w:right w:w="120" w:type="dxa"/>
            </w:tcMar>
            <w:vAlign w:val="center"/>
          </w:tcPr>
          <w:p w14:paraId="3BB729C6">
            <w:pPr>
              <w:spacing w:line="288" w:lineRule="auto"/>
              <w:rPr>
                <w:rFonts w:ascii="宋体" w:hAnsi="宋体" w:eastAsia="宋体" w:cs="Arial"/>
                <w:sz w:val="18"/>
                <w:szCs w:val="18"/>
              </w:rPr>
            </w:pPr>
            <w:r>
              <w:rPr>
                <w:rFonts w:hint="eastAsia" w:ascii="宋体" w:hAnsi="宋体" w:eastAsia="宋体" w:cs="Arial"/>
                <w:sz w:val="18"/>
                <w:szCs w:val="18"/>
              </w:rPr>
              <w:t>建筑使用信息</w:t>
            </w:r>
          </w:p>
          <w:p w14:paraId="79AC5CE4">
            <w:pPr>
              <w:spacing w:line="288" w:lineRule="auto"/>
              <w:rPr>
                <w:rFonts w:ascii="宋体" w:hAnsi="宋体" w:eastAsia="宋体" w:cs="Arial"/>
                <w:sz w:val="18"/>
                <w:szCs w:val="18"/>
              </w:rPr>
            </w:pPr>
            <w:r>
              <w:rPr>
                <w:rFonts w:hint="eastAsia" w:ascii="宋体" w:hAnsi="宋体" w:eastAsia="宋体" w:cs="Arial"/>
                <w:sz w:val="18"/>
                <w:szCs w:val="18"/>
              </w:rPr>
              <w:t>（建筑总面积、建筑公共区域面积、租户面积、建租户数目）</w:t>
            </w:r>
          </w:p>
        </w:tc>
        <w:tc>
          <w:tcPr>
            <w:tcW w:w="1134"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474875E">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1134"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57A1AC1">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1134"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86156C0">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992" w:type="dxa"/>
            <w:tcBorders>
              <w:top w:val="single" w:color="auto" w:sz="8"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949C828">
            <w:pPr>
              <w:spacing w:line="288" w:lineRule="auto"/>
              <w:jc w:val="center"/>
              <w:rPr>
                <w:rFonts w:ascii="宋体" w:hAnsi="宋体" w:eastAsia="宋体" w:cs="Arial"/>
                <w:sz w:val="18"/>
                <w:szCs w:val="18"/>
              </w:rPr>
            </w:pPr>
            <w:r>
              <w:rPr>
                <w:rFonts w:ascii="宋体" w:hAnsi="宋体" w:eastAsia="宋体" w:cs="Arial"/>
                <w:sz w:val="18"/>
                <w:szCs w:val="18"/>
              </w:rPr>
              <w:t>应提交</w:t>
            </w:r>
          </w:p>
        </w:tc>
        <w:tc>
          <w:tcPr>
            <w:tcW w:w="1276" w:type="dxa"/>
            <w:tcBorders>
              <w:top w:val="single" w:color="auto" w:sz="8" w:space="0"/>
              <w:left w:val="single" w:color="auto" w:sz="4" w:space="0"/>
              <w:bottom w:val="single" w:color="auto" w:sz="4" w:space="0"/>
            </w:tcBorders>
            <w:tcMar>
              <w:top w:w="60" w:type="dxa"/>
              <w:left w:w="120" w:type="dxa"/>
              <w:bottom w:w="30" w:type="dxa"/>
              <w:right w:w="120" w:type="dxa"/>
            </w:tcMar>
            <w:vAlign w:val="center"/>
          </w:tcPr>
          <w:p w14:paraId="4E90A084">
            <w:pPr>
              <w:spacing w:line="288" w:lineRule="auto"/>
              <w:jc w:val="center"/>
              <w:rPr>
                <w:rFonts w:ascii="宋体" w:hAnsi="宋体" w:eastAsia="宋体" w:cs="Arial"/>
                <w:sz w:val="18"/>
                <w:szCs w:val="18"/>
              </w:rPr>
            </w:pPr>
            <w:r>
              <w:rPr>
                <w:rFonts w:ascii="宋体" w:hAnsi="宋体" w:eastAsia="宋体" w:cs="Arial"/>
                <w:sz w:val="18"/>
                <w:szCs w:val="18"/>
              </w:rPr>
              <w:t>应提交</w:t>
            </w:r>
          </w:p>
        </w:tc>
      </w:tr>
      <w:tr w14:paraId="37D49A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4" w:space="0"/>
              <w:bottom w:val="single" w:color="auto" w:sz="4" w:space="0"/>
              <w:right w:val="single" w:color="auto" w:sz="4" w:space="0"/>
            </w:tcBorders>
            <w:tcMar>
              <w:top w:w="60" w:type="dxa"/>
              <w:left w:w="120" w:type="dxa"/>
              <w:bottom w:w="30" w:type="dxa"/>
              <w:right w:w="120" w:type="dxa"/>
            </w:tcMar>
            <w:vAlign w:val="center"/>
          </w:tcPr>
          <w:p w14:paraId="0AC3178B">
            <w:pPr>
              <w:spacing w:line="288" w:lineRule="auto"/>
              <w:rPr>
                <w:rFonts w:ascii="宋体" w:hAnsi="宋体" w:eastAsia="宋体"/>
                <w:sz w:val="18"/>
                <w:szCs w:val="18"/>
              </w:rPr>
            </w:pPr>
            <w:r>
              <w:rPr>
                <w:rFonts w:ascii="宋体" w:hAnsi="宋体" w:eastAsia="宋体" w:cs="Arial"/>
                <w:sz w:val="18"/>
                <w:szCs w:val="18"/>
              </w:rPr>
              <w:t>净零目标承诺书</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96AE405">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4BA7A52">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0F361D9">
            <w:pPr>
              <w:spacing w:line="288" w:lineRule="auto"/>
              <w:jc w:val="center"/>
              <w:rPr>
                <w:rFonts w:ascii="宋体" w:hAnsi="宋体" w:eastAsia="宋体"/>
                <w:sz w:val="18"/>
                <w:szCs w:val="18"/>
              </w:rPr>
            </w:pPr>
            <w:r>
              <w:rPr>
                <w:rFonts w:ascii="宋体" w:hAnsi="宋体" w:eastAsia="宋体" w:cs="Arial"/>
                <w:sz w:val="18"/>
                <w:szCs w:val="18"/>
              </w:rPr>
              <w:t>应提交</w:t>
            </w:r>
          </w:p>
        </w:tc>
        <w:tc>
          <w:tcPr>
            <w:tcW w:w="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3FD954E">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Borders>
              <w:top w:val="single" w:color="auto" w:sz="4" w:space="0"/>
              <w:left w:val="single" w:color="auto" w:sz="4" w:space="0"/>
              <w:bottom w:val="single" w:color="auto" w:sz="4" w:space="0"/>
            </w:tcBorders>
            <w:tcMar>
              <w:top w:w="60" w:type="dxa"/>
              <w:left w:w="120" w:type="dxa"/>
              <w:bottom w:w="30" w:type="dxa"/>
              <w:right w:w="120" w:type="dxa"/>
            </w:tcMar>
            <w:vAlign w:val="center"/>
          </w:tcPr>
          <w:p w14:paraId="52559226">
            <w:pPr>
              <w:spacing w:line="288" w:lineRule="auto"/>
              <w:jc w:val="center"/>
              <w:rPr>
                <w:rFonts w:ascii="宋体" w:hAnsi="宋体" w:eastAsia="宋体"/>
                <w:sz w:val="18"/>
                <w:szCs w:val="18"/>
              </w:rPr>
            </w:pPr>
            <w:r>
              <w:rPr>
                <w:rFonts w:ascii="宋体" w:hAnsi="宋体" w:eastAsia="宋体" w:cs="Arial"/>
                <w:sz w:val="18"/>
                <w:szCs w:val="18"/>
              </w:rPr>
              <w:t>应提交</w:t>
            </w:r>
          </w:p>
        </w:tc>
      </w:tr>
      <w:tr w14:paraId="380C41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4" w:space="0"/>
              <w:bottom w:val="single" w:color="auto" w:sz="4" w:space="0"/>
              <w:right w:val="single" w:color="auto" w:sz="4" w:space="0"/>
            </w:tcBorders>
            <w:tcMar>
              <w:top w:w="60" w:type="dxa"/>
              <w:left w:w="120" w:type="dxa"/>
              <w:bottom w:w="30" w:type="dxa"/>
              <w:right w:w="120" w:type="dxa"/>
            </w:tcMar>
            <w:vAlign w:val="center"/>
          </w:tcPr>
          <w:p w14:paraId="722D04B9">
            <w:pPr>
              <w:spacing w:line="288" w:lineRule="auto"/>
              <w:rPr>
                <w:rFonts w:ascii="宋体" w:hAnsi="宋体" w:eastAsia="宋体"/>
                <w:sz w:val="18"/>
                <w:szCs w:val="18"/>
              </w:rPr>
            </w:pPr>
            <w:r>
              <w:rPr>
                <w:rFonts w:ascii="宋体" w:hAnsi="宋体" w:eastAsia="宋体" w:cs="Arial"/>
                <w:sz w:val="18"/>
                <w:szCs w:val="18"/>
              </w:rPr>
              <w:t>净零路径行动计划</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41B17C1">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E6B2C57">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090EEA7">
            <w:pPr>
              <w:spacing w:line="288" w:lineRule="auto"/>
              <w:jc w:val="center"/>
              <w:rPr>
                <w:rFonts w:ascii="宋体" w:hAnsi="宋体" w:eastAsia="宋体"/>
                <w:sz w:val="18"/>
                <w:szCs w:val="18"/>
              </w:rPr>
            </w:pPr>
            <w:r>
              <w:rPr>
                <w:rFonts w:ascii="宋体" w:hAnsi="宋体" w:eastAsia="宋体" w:cs="Arial"/>
                <w:sz w:val="18"/>
                <w:szCs w:val="18"/>
              </w:rPr>
              <w:t>/</w:t>
            </w:r>
          </w:p>
        </w:tc>
        <w:tc>
          <w:tcPr>
            <w:tcW w:w="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3206FD5">
            <w:pPr>
              <w:spacing w:line="288" w:lineRule="auto"/>
              <w:jc w:val="center"/>
              <w:rPr>
                <w:rFonts w:ascii="宋体" w:hAnsi="宋体" w:eastAsia="宋体"/>
                <w:sz w:val="18"/>
                <w:szCs w:val="18"/>
              </w:rPr>
            </w:pPr>
            <w:r>
              <w:rPr>
                <w:rFonts w:ascii="宋体" w:hAnsi="宋体" w:eastAsia="宋体" w:cs="Arial"/>
                <w:sz w:val="18"/>
                <w:szCs w:val="18"/>
              </w:rPr>
              <w:t>/</w:t>
            </w:r>
          </w:p>
        </w:tc>
        <w:tc>
          <w:tcPr>
            <w:tcW w:w="1276" w:type="dxa"/>
            <w:tcBorders>
              <w:top w:val="single" w:color="auto" w:sz="4" w:space="0"/>
              <w:left w:val="single" w:color="auto" w:sz="4" w:space="0"/>
              <w:bottom w:val="single" w:color="auto" w:sz="4" w:space="0"/>
            </w:tcBorders>
            <w:tcMar>
              <w:top w:w="60" w:type="dxa"/>
              <w:left w:w="120" w:type="dxa"/>
              <w:bottom w:w="30" w:type="dxa"/>
              <w:right w:w="120" w:type="dxa"/>
            </w:tcMar>
            <w:vAlign w:val="center"/>
          </w:tcPr>
          <w:p w14:paraId="6E6F1F2F">
            <w:pPr>
              <w:spacing w:line="288" w:lineRule="auto"/>
              <w:jc w:val="center"/>
              <w:rPr>
                <w:rFonts w:ascii="宋体" w:hAnsi="宋体" w:eastAsia="宋体"/>
                <w:sz w:val="18"/>
                <w:szCs w:val="18"/>
              </w:rPr>
            </w:pPr>
            <w:r>
              <w:rPr>
                <w:rFonts w:ascii="宋体" w:hAnsi="宋体" w:eastAsia="宋体" w:cs="Arial"/>
                <w:sz w:val="18"/>
                <w:szCs w:val="18"/>
              </w:rPr>
              <w:t>/</w:t>
            </w:r>
          </w:p>
        </w:tc>
      </w:tr>
      <w:tr w14:paraId="5B759D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4" w:space="0"/>
              <w:bottom w:val="single" w:color="auto" w:sz="4" w:space="0"/>
              <w:right w:val="single" w:color="auto" w:sz="4" w:space="0"/>
            </w:tcBorders>
            <w:tcMar>
              <w:top w:w="60" w:type="dxa"/>
              <w:left w:w="120" w:type="dxa"/>
              <w:bottom w:w="30" w:type="dxa"/>
              <w:right w:w="120" w:type="dxa"/>
            </w:tcMar>
            <w:vAlign w:val="center"/>
          </w:tcPr>
          <w:p w14:paraId="494C60C0">
            <w:pPr>
              <w:spacing w:line="288" w:lineRule="auto"/>
              <w:rPr>
                <w:rFonts w:ascii="宋体" w:hAnsi="宋体" w:eastAsia="宋体"/>
                <w:sz w:val="18"/>
                <w:szCs w:val="18"/>
              </w:rPr>
            </w:pPr>
            <w:r>
              <w:rPr>
                <w:rFonts w:ascii="宋体" w:hAnsi="宋体" w:eastAsia="宋体" w:cs="Arial"/>
                <w:sz w:val="18"/>
                <w:szCs w:val="18"/>
              </w:rPr>
              <w:t>基准年碳信息与核查证书</w:t>
            </w:r>
          </w:p>
          <w:p w14:paraId="1228776D">
            <w:pPr>
              <w:spacing w:line="288" w:lineRule="auto"/>
              <w:rPr>
                <w:rFonts w:ascii="宋体" w:hAnsi="宋体" w:eastAsia="宋体"/>
                <w:sz w:val="18"/>
                <w:szCs w:val="18"/>
              </w:rPr>
            </w:pPr>
            <w:r>
              <w:rPr>
                <w:rFonts w:ascii="宋体" w:hAnsi="宋体" w:eastAsia="宋体" w:cs="Arial"/>
                <w:sz w:val="18"/>
                <w:szCs w:val="18"/>
              </w:rPr>
              <w:t>（建筑整体、公共区域、租户的能源利用强度和碳排放强度）</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57A43A0">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E811F5A">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A9C8B73">
            <w:pPr>
              <w:spacing w:line="288" w:lineRule="auto"/>
              <w:jc w:val="center"/>
              <w:rPr>
                <w:rFonts w:ascii="宋体" w:hAnsi="宋体" w:eastAsia="宋体"/>
                <w:sz w:val="18"/>
                <w:szCs w:val="18"/>
              </w:rPr>
            </w:pPr>
            <w:r>
              <w:rPr>
                <w:rFonts w:ascii="宋体" w:hAnsi="宋体" w:eastAsia="宋体" w:cs="Arial"/>
                <w:sz w:val="18"/>
                <w:szCs w:val="18"/>
              </w:rPr>
              <w:t>/</w:t>
            </w:r>
          </w:p>
          <w:p w14:paraId="529E86C1">
            <w:pPr>
              <w:spacing w:line="288" w:lineRule="auto"/>
              <w:jc w:val="center"/>
              <w:rPr>
                <w:rFonts w:ascii="宋体" w:hAnsi="宋体" w:eastAsia="宋体"/>
                <w:sz w:val="18"/>
                <w:szCs w:val="18"/>
              </w:rPr>
            </w:pPr>
          </w:p>
        </w:tc>
        <w:tc>
          <w:tcPr>
            <w:tcW w:w="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6A47AFF">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Borders>
              <w:top w:val="single" w:color="auto" w:sz="4" w:space="0"/>
              <w:left w:val="single" w:color="auto" w:sz="4" w:space="0"/>
              <w:bottom w:val="single" w:color="auto" w:sz="4" w:space="0"/>
            </w:tcBorders>
            <w:tcMar>
              <w:top w:w="60" w:type="dxa"/>
              <w:left w:w="120" w:type="dxa"/>
              <w:bottom w:w="30" w:type="dxa"/>
              <w:right w:w="120" w:type="dxa"/>
            </w:tcMar>
            <w:vAlign w:val="center"/>
          </w:tcPr>
          <w:p w14:paraId="0F0F5D29">
            <w:pPr>
              <w:spacing w:line="288" w:lineRule="auto"/>
              <w:jc w:val="center"/>
              <w:rPr>
                <w:rFonts w:ascii="宋体" w:hAnsi="宋体" w:eastAsia="宋体"/>
                <w:sz w:val="18"/>
                <w:szCs w:val="18"/>
              </w:rPr>
            </w:pPr>
            <w:r>
              <w:rPr>
                <w:rFonts w:ascii="宋体" w:hAnsi="宋体" w:eastAsia="宋体" w:cs="Arial"/>
                <w:sz w:val="18"/>
                <w:szCs w:val="18"/>
              </w:rPr>
              <w:t>/</w:t>
            </w:r>
          </w:p>
        </w:tc>
      </w:tr>
      <w:tr w14:paraId="566EF8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4" w:space="0"/>
              <w:bottom w:val="single" w:color="auto" w:sz="4" w:space="0"/>
              <w:right w:val="single" w:color="auto" w:sz="4" w:space="0"/>
            </w:tcBorders>
            <w:tcMar>
              <w:top w:w="60" w:type="dxa"/>
              <w:left w:w="120" w:type="dxa"/>
              <w:bottom w:w="30" w:type="dxa"/>
              <w:right w:w="120" w:type="dxa"/>
            </w:tcMar>
            <w:vAlign w:val="center"/>
          </w:tcPr>
          <w:p w14:paraId="4A1B926D">
            <w:pPr>
              <w:spacing w:line="288" w:lineRule="auto"/>
              <w:rPr>
                <w:rFonts w:ascii="宋体" w:hAnsi="宋体" w:eastAsia="宋体"/>
                <w:sz w:val="18"/>
                <w:szCs w:val="18"/>
              </w:rPr>
            </w:pPr>
            <w:r>
              <w:rPr>
                <w:rFonts w:ascii="宋体" w:hAnsi="宋体" w:eastAsia="宋体" w:cs="Arial"/>
                <w:sz w:val="18"/>
                <w:szCs w:val="18"/>
              </w:rPr>
              <w:t>参评年度碳信息与核查证书</w:t>
            </w:r>
          </w:p>
          <w:p w14:paraId="1ECD3997">
            <w:pPr>
              <w:spacing w:line="288" w:lineRule="auto"/>
              <w:rPr>
                <w:rFonts w:ascii="宋体" w:hAnsi="宋体" w:eastAsia="宋体"/>
                <w:sz w:val="18"/>
                <w:szCs w:val="18"/>
              </w:rPr>
            </w:pPr>
            <w:r>
              <w:rPr>
                <w:rFonts w:ascii="宋体" w:hAnsi="宋体" w:eastAsia="宋体" w:cs="Arial"/>
                <w:sz w:val="18"/>
                <w:szCs w:val="18"/>
              </w:rPr>
              <w:t>（建筑整体、公共区域、租户的能源利用强度和碳排放强度）</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2270F1A">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F7B2997">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2F77B31">
            <w:pPr>
              <w:spacing w:line="288" w:lineRule="auto"/>
              <w:jc w:val="center"/>
              <w:rPr>
                <w:rFonts w:ascii="宋体" w:hAnsi="宋体" w:eastAsia="宋体"/>
                <w:sz w:val="18"/>
                <w:szCs w:val="18"/>
              </w:rPr>
            </w:pPr>
            <w:r>
              <w:rPr>
                <w:rFonts w:ascii="宋体" w:hAnsi="宋体" w:eastAsia="宋体" w:cs="Arial"/>
                <w:sz w:val="18"/>
                <w:szCs w:val="18"/>
              </w:rPr>
              <w:t>应提交</w:t>
            </w:r>
          </w:p>
        </w:tc>
        <w:tc>
          <w:tcPr>
            <w:tcW w:w="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B3DF206">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Borders>
              <w:top w:val="single" w:color="auto" w:sz="4" w:space="0"/>
              <w:left w:val="single" w:color="auto" w:sz="4" w:space="0"/>
              <w:bottom w:val="single" w:color="auto" w:sz="4" w:space="0"/>
            </w:tcBorders>
            <w:tcMar>
              <w:top w:w="60" w:type="dxa"/>
              <w:left w:w="120" w:type="dxa"/>
              <w:bottom w:w="30" w:type="dxa"/>
              <w:right w:w="120" w:type="dxa"/>
            </w:tcMar>
            <w:vAlign w:val="center"/>
          </w:tcPr>
          <w:p w14:paraId="227AA740">
            <w:pPr>
              <w:spacing w:line="288" w:lineRule="auto"/>
              <w:jc w:val="center"/>
              <w:rPr>
                <w:rFonts w:ascii="宋体" w:hAnsi="宋体" w:eastAsia="宋体"/>
                <w:sz w:val="18"/>
                <w:szCs w:val="18"/>
              </w:rPr>
            </w:pPr>
            <w:r>
              <w:rPr>
                <w:rFonts w:ascii="宋体" w:hAnsi="宋体" w:eastAsia="宋体" w:cs="Arial"/>
                <w:sz w:val="18"/>
                <w:szCs w:val="18"/>
              </w:rPr>
              <w:t>应提交</w:t>
            </w:r>
          </w:p>
        </w:tc>
      </w:tr>
      <w:tr w14:paraId="54948A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4" w:space="0"/>
              <w:bottom w:val="single" w:color="auto" w:sz="4" w:space="0"/>
              <w:right w:val="single" w:color="auto" w:sz="4" w:space="0"/>
            </w:tcBorders>
            <w:tcMar>
              <w:top w:w="60" w:type="dxa"/>
              <w:left w:w="120" w:type="dxa"/>
              <w:bottom w:w="30" w:type="dxa"/>
              <w:right w:w="120" w:type="dxa"/>
            </w:tcMar>
            <w:vAlign w:val="center"/>
          </w:tcPr>
          <w:p w14:paraId="7A376DD8">
            <w:pPr>
              <w:spacing w:line="288" w:lineRule="auto"/>
              <w:rPr>
                <w:rFonts w:ascii="宋体" w:hAnsi="宋体" w:eastAsia="宋体"/>
                <w:sz w:val="18"/>
                <w:szCs w:val="18"/>
              </w:rPr>
            </w:pPr>
            <w:r>
              <w:rPr>
                <w:rFonts w:ascii="宋体" w:hAnsi="宋体" w:eastAsia="宋体" w:cs="Arial"/>
                <w:sz w:val="18"/>
                <w:szCs w:val="18"/>
              </w:rPr>
              <w:t>已开展的净零举措以及取得的绩效</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7DDE32">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6C1FF33">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683BF7">
            <w:pPr>
              <w:spacing w:line="288" w:lineRule="auto"/>
              <w:jc w:val="center"/>
              <w:rPr>
                <w:rFonts w:ascii="宋体" w:hAnsi="宋体" w:eastAsia="宋体"/>
                <w:sz w:val="18"/>
                <w:szCs w:val="18"/>
              </w:rPr>
            </w:pPr>
            <w:r>
              <w:rPr>
                <w:rFonts w:ascii="宋体" w:hAnsi="宋体" w:eastAsia="宋体" w:cs="Arial"/>
                <w:sz w:val="18"/>
                <w:szCs w:val="18"/>
              </w:rPr>
              <w:t>应提交</w:t>
            </w:r>
          </w:p>
        </w:tc>
        <w:tc>
          <w:tcPr>
            <w:tcW w:w="99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8D156E9">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Borders>
              <w:top w:val="single" w:color="auto" w:sz="4" w:space="0"/>
              <w:left w:val="single" w:color="auto" w:sz="4" w:space="0"/>
              <w:bottom w:val="single" w:color="auto" w:sz="4" w:space="0"/>
            </w:tcBorders>
            <w:tcMar>
              <w:top w:w="60" w:type="dxa"/>
              <w:left w:w="120" w:type="dxa"/>
              <w:bottom w:w="30" w:type="dxa"/>
              <w:right w:w="120" w:type="dxa"/>
            </w:tcMar>
            <w:vAlign w:val="center"/>
          </w:tcPr>
          <w:p w14:paraId="01FFFCDE">
            <w:pPr>
              <w:spacing w:line="288" w:lineRule="auto"/>
              <w:jc w:val="center"/>
              <w:rPr>
                <w:rFonts w:ascii="宋体" w:hAnsi="宋体" w:eastAsia="宋体"/>
                <w:sz w:val="18"/>
                <w:szCs w:val="18"/>
              </w:rPr>
            </w:pPr>
            <w:r>
              <w:rPr>
                <w:rFonts w:ascii="宋体" w:hAnsi="宋体" w:eastAsia="宋体" w:cs="Arial"/>
                <w:sz w:val="18"/>
                <w:szCs w:val="18"/>
              </w:rPr>
              <w:t>应提交</w:t>
            </w:r>
          </w:p>
        </w:tc>
      </w:tr>
      <w:tr w14:paraId="461E56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4" w:space="0"/>
              <w:bottom w:val="single" w:color="auto" w:sz="6" w:space="0"/>
              <w:right w:val="single" w:color="auto" w:sz="4" w:space="0"/>
            </w:tcBorders>
            <w:tcMar>
              <w:top w:w="60" w:type="dxa"/>
              <w:left w:w="120" w:type="dxa"/>
              <w:bottom w:w="30" w:type="dxa"/>
              <w:right w:w="120" w:type="dxa"/>
            </w:tcMar>
            <w:vAlign w:val="center"/>
          </w:tcPr>
          <w:p w14:paraId="618F066F">
            <w:pPr>
              <w:spacing w:line="288" w:lineRule="auto"/>
              <w:rPr>
                <w:rFonts w:ascii="宋体" w:hAnsi="宋体" w:eastAsia="宋体"/>
                <w:sz w:val="18"/>
                <w:szCs w:val="18"/>
              </w:rPr>
            </w:pPr>
            <w:r>
              <w:rPr>
                <w:rFonts w:ascii="宋体" w:hAnsi="宋体" w:eastAsia="宋体" w:cs="Arial"/>
                <w:sz w:val="18"/>
                <w:szCs w:val="18"/>
              </w:rPr>
              <w:t>绿色电力使用信息（建筑整体、物业区域、租户区域的绿点消费信息）</w:t>
            </w:r>
          </w:p>
        </w:tc>
        <w:tc>
          <w:tcPr>
            <w:tcW w:w="1134" w:type="dxa"/>
            <w:tcBorders>
              <w:top w:val="single" w:color="auto" w:sz="4" w:space="0"/>
              <w:left w:val="single" w:color="auto" w:sz="4" w:space="0"/>
              <w:bottom w:val="single" w:color="auto" w:sz="6" w:space="0"/>
              <w:right w:val="single" w:color="auto" w:sz="4" w:space="0"/>
            </w:tcBorders>
            <w:tcMar>
              <w:top w:w="60" w:type="dxa"/>
              <w:left w:w="120" w:type="dxa"/>
              <w:bottom w:w="30" w:type="dxa"/>
              <w:right w:w="120" w:type="dxa"/>
            </w:tcMar>
            <w:vAlign w:val="center"/>
          </w:tcPr>
          <w:p w14:paraId="46F6BFD1">
            <w:pPr>
              <w:spacing w:line="288" w:lineRule="auto"/>
              <w:jc w:val="center"/>
              <w:rPr>
                <w:rFonts w:ascii="宋体" w:hAnsi="宋体" w:eastAsia="宋体"/>
                <w:sz w:val="18"/>
                <w:szCs w:val="18"/>
              </w:rPr>
            </w:pPr>
          </w:p>
        </w:tc>
        <w:tc>
          <w:tcPr>
            <w:tcW w:w="1134" w:type="dxa"/>
            <w:tcBorders>
              <w:top w:val="single" w:color="auto" w:sz="4" w:space="0"/>
              <w:left w:val="single" w:color="auto" w:sz="4" w:space="0"/>
              <w:bottom w:val="single" w:color="auto" w:sz="6" w:space="0"/>
              <w:right w:val="single" w:color="auto" w:sz="4" w:space="0"/>
            </w:tcBorders>
            <w:tcMar>
              <w:top w:w="60" w:type="dxa"/>
              <w:left w:w="120" w:type="dxa"/>
              <w:bottom w:w="30" w:type="dxa"/>
              <w:right w:w="120" w:type="dxa"/>
            </w:tcMar>
            <w:vAlign w:val="center"/>
          </w:tcPr>
          <w:p w14:paraId="0329998F">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Borders>
              <w:top w:val="single" w:color="auto" w:sz="4" w:space="0"/>
              <w:left w:val="single" w:color="auto" w:sz="4" w:space="0"/>
              <w:bottom w:val="single" w:color="auto" w:sz="6" w:space="0"/>
              <w:right w:val="single" w:color="auto" w:sz="4" w:space="0"/>
            </w:tcBorders>
            <w:tcMar>
              <w:top w:w="60" w:type="dxa"/>
              <w:left w:w="120" w:type="dxa"/>
              <w:bottom w:w="30" w:type="dxa"/>
              <w:right w:w="120" w:type="dxa"/>
            </w:tcMar>
            <w:vAlign w:val="center"/>
          </w:tcPr>
          <w:p w14:paraId="6DF4B440">
            <w:pPr>
              <w:spacing w:line="288" w:lineRule="auto"/>
              <w:jc w:val="center"/>
              <w:rPr>
                <w:rFonts w:ascii="宋体" w:hAnsi="宋体" w:eastAsia="宋体"/>
                <w:sz w:val="18"/>
                <w:szCs w:val="18"/>
              </w:rPr>
            </w:pPr>
            <w:r>
              <w:rPr>
                <w:rFonts w:ascii="宋体" w:hAnsi="宋体" w:eastAsia="宋体" w:cs="Arial"/>
                <w:sz w:val="18"/>
                <w:szCs w:val="18"/>
              </w:rPr>
              <w:t>应提交</w:t>
            </w:r>
          </w:p>
        </w:tc>
        <w:tc>
          <w:tcPr>
            <w:tcW w:w="992" w:type="dxa"/>
            <w:tcBorders>
              <w:top w:val="single" w:color="auto" w:sz="4" w:space="0"/>
              <w:left w:val="single" w:color="auto" w:sz="4" w:space="0"/>
              <w:bottom w:val="single" w:color="auto" w:sz="6" w:space="0"/>
              <w:right w:val="single" w:color="auto" w:sz="4" w:space="0"/>
            </w:tcBorders>
            <w:tcMar>
              <w:top w:w="60" w:type="dxa"/>
              <w:left w:w="120" w:type="dxa"/>
              <w:bottom w:w="30" w:type="dxa"/>
              <w:right w:w="120" w:type="dxa"/>
            </w:tcMar>
            <w:vAlign w:val="center"/>
          </w:tcPr>
          <w:p w14:paraId="5FB3E905">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Borders>
              <w:top w:val="single" w:color="auto" w:sz="4" w:space="0"/>
              <w:left w:val="single" w:color="auto" w:sz="4" w:space="0"/>
              <w:bottom w:val="single" w:color="auto" w:sz="6" w:space="0"/>
            </w:tcBorders>
            <w:tcMar>
              <w:top w:w="60" w:type="dxa"/>
              <w:left w:w="120" w:type="dxa"/>
              <w:bottom w:w="30" w:type="dxa"/>
              <w:right w:w="120" w:type="dxa"/>
            </w:tcMar>
            <w:vAlign w:val="center"/>
          </w:tcPr>
          <w:p w14:paraId="13FF59A2">
            <w:pPr>
              <w:spacing w:line="288" w:lineRule="auto"/>
              <w:jc w:val="center"/>
              <w:rPr>
                <w:rFonts w:ascii="宋体" w:hAnsi="宋体" w:eastAsia="宋体"/>
                <w:sz w:val="18"/>
                <w:szCs w:val="18"/>
              </w:rPr>
            </w:pPr>
            <w:r>
              <w:rPr>
                <w:rFonts w:ascii="宋体" w:hAnsi="宋体" w:eastAsia="宋体" w:cs="Arial"/>
                <w:sz w:val="18"/>
                <w:szCs w:val="18"/>
              </w:rPr>
              <w:t>应提交</w:t>
            </w:r>
          </w:p>
        </w:tc>
      </w:tr>
      <w:tr w14:paraId="1FF505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Borders>
              <w:top w:val="single" w:color="auto" w:sz="6" w:space="0"/>
            </w:tcBorders>
            <w:tcMar>
              <w:top w:w="60" w:type="dxa"/>
              <w:left w:w="120" w:type="dxa"/>
              <w:bottom w:w="30" w:type="dxa"/>
              <w:right w:w="120" w:type="dxa"/>
            </w:tcMar>
            <w:vAlign w:val="center"/>
          </w:tcPr>
          <w:p w14:paraId="4AE57DE1">
            <w:pPr>
              <w:spacing w:line="288" w:lineRule="auto"/>
              <w:rPr>
                <w:rFonts w:ascii="宋体" w:hAnsi="宋体" w:eastAsia="宋体"/>
                <w:sz w:val="18"/>
                <w:szCs w:val="18"/>
              </w:rPr>
            </w:pPr>
            <w:r>
              <w:rPr>
                <w:rFonts w:ascii="宋体" w:hAnsi="宋体" w:eastAsia="宋体" w:cs="Arial"/>
                <w:sz w:val="18"/>
                <w:szCs w:val="18"/>
              </w:rPr>
              <w:t>绿电消费核算验证声明</w:t>
            </w:r>
          </w:p>
        </w:tc>
        <w:tc>
          <w:tcPr>
            <w:tcW w:w="1134" w:type="dxa"/>
            <w:tcBorders>
              <w:top w:val="single" w:color="auto" w:sz="6" w:space="0"/>
            </w:tcBorders>
            <w:tcMar>
              <w:top w:w="60" w:type="dxa"/>
              <w:left w:w="120" w:type="dxa"/>
              <w:bottom w:w="30" w:type="dxa"/>
              <w:right w:w="120" w:type="dxa"/>
            </w:tcMar>
            <w:vAlign w:val="center"/>
          </w:tcPr>
          <w:p w14:paraId="611AEAB1">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Borders>
              <w:top w:val="single" w:color="auto" w:sz="6" w:space="0"/>
            </w:tcBorders>
            <w:tcMar>
              <w:top w:w="60" w:type="dxa"/>
              <w:left w:w="120" w:type="dxa"/>
              <w:bottom w:w="30" w:type="dxa"/>
              <w:right w:w="120" w:type="dxa"/>
            </w:tcMar>
            <w:vAlign w:val="center"/>
          </w:tcPr>
          <w:p w14:paraId="60AA6CDA">
            <w:pPr>
              <w:spacing w:line="288" w:lineRule="auto"/>
              <w:jc w:val="center"/>
              <w:rPr>
                <w:rFonts w:ascii="宋体" w:hAnsi="宋体" w:eastAsia="宋体"/>
                <w:sz w:val="18"/>
                <w:szCs w:val="18"/>
              </w:rPr>
            </w:pPr>
            <w:r>
              <w:rPr>
                <w:rFonts w:ascii="宋体" w:hAnsi="宋体" w:eastAsia="宋体" w:cs="Arial"/>
                <w:sz w:val="18"/>
                <w:szCs w:val="18"/>
              </w:rPr>
              <w:t>应提交</w:t>
            </w:r>
          </w:p>
          <w:p w14:paraId="051EDE43">
            <w:pPr>
              <w:spacing w:line="288" w:lineRule="auto"/>
              <w:jc w:val="center"/>
              <w:rPr>
                <w:rFonts w:ascii="宋体" w:hAnsi="宋体" w:eastAsia="宋体"/>
                <w:sz w:val="18"/>
                <w:szCs w:val="18"/>
              </w:rPr>
            </w:pPr>
            <w:r>
              <w:rPr>
                <w:rFonts w:ascii="宋体" w:hAnsi="宋体" w:eastAsia="宋体" w:cs="Arial"/>
                <w:sz w:val="18"/>
                <w:szCs w:val="18"/>
              </w:rPr>
              <w:t>（若适用）</w:t>
            </w:r>
          </w:p>
        </w:tc>
        <w:tc>
          <w:tcPr>
            <w:tcW w:w="1134" w:type="dxa"/>
            <w:tcBorders>
              <w:top w:val="single" w:color="auto" w:sz="6" w:space="0"/>
            </w:tcBorders>
            <w:tcMar>
              <w:top w:w="60" w:type="dxa"/>
              <w:left w:w="120" w:type="dxa"/>
              <w:bottom w:w="30" w:type="dxa"/>
              <w:right w:w="120" w:type="dxa"/>
            </w:tcMar>
            <w:vAlign w:val="center"/>
          </w:tcPr>
          <w:p w14:paraId="0C415582">
            <w:pPr>
              <w:spacing w:line="288" w:lineRule="auto"/>
              <w:jc w:val="center"/>
              <w:rPr>
                <w:rFonts w:ascii="宋体" w:hAnsi="宋体" w:eastAsia="宋体"/>
                <w:sz w:val="18"/>
                <w:szCs w:val="18"/>
              </w:rPr>
            </w:pPr>
            <w:r>
              <w:rPr>
                <w:rFonts w:ascii="宋体" w:hAnsi="宋体" w:eastAsia="宋体" w:cs="Arial"/>
                <w:sz w:val="18"/>
                <w:szCs w:val="18"/>
              </w:rPr>
              <w:t>应提交</w:t>
            </w:r>
          </w:p>
          <w:p w14:paraId="417A134D">
            <w:pPr>
              <w:spacing w:line="288" w:lineRule="auto"/>
              <w:jc w:val="center"/>
              <w:rPr>
                <w:rFonts w:ascii="宋体" w:hAnsi="宋体" w:eastAsia="宋体"/>
                <w:sz w:val="18"/>
                <w:szCs w:val="18"/>
              </w:rPr>
            </w:pPr>
            <w:r>
              <w:rPr>
                <w:rFonts w:ascii="宋体" w:hAnsi="宋体" w:eastAsia="宋体" w:cs="Arial"/>
                <w:sz w:val="18"/>
                <w:szCs w:val="18"/>
              </w:rPr>
              <w:t>（若适用）</w:t>
            </w:r>
          </w:p>
        </w:tc>
        <w:tc>
          <w:tcPr>
            <w:tcW w:w="992" w:type="dxa"/>
            <w:tcBorders>
              <w:top w:val="single" w:color="auto" w:sz="6" w:space="0"/>
            </w:tcBorders>
            <w:tcMar>
              <w:top w:w="60" w:type="dxa"/>
              <w:left w:w="120" w:type="dxa"/>
              <w:bottom w:w="30" w:type="dxa"/>
              <w:right w:w="120" w:type="dxa"/>
            </w:tcMar>
            <w:vAlign w:val="center"/>
          </w:tcPr>
          <w:p w14:paraId="034337DC">
            <w:pPr>
              <w:spacing w:line="288" w:lineRule="auto"/>
              <w:jc w:val="center"/>
              <w:rPr>
                <w:rFonts w:ascii="宋体" w:hAnsi="宋体" w:eastAsia="宋体"/>
                <w:sz w:val="18"/>
                <w:szCs w:val="18"/>
              </w:rPr>
            </w:pPr>
            <w:r>
              <w:rPr>
                <w:rFonts w:ascii="宋体" w:hAnsi="宋体" w:eastAsia="宋体" w:cs="Arial"/>
                <w:sz w:val="18"/>
                <w:szCs w:val="18"/>
              </w:rPr>
              <w:t>应提交</w:t>
            </w:r>
          </w:p>
          <w:p w14:paraId="44C29FF4">
            <w:pPr>
              <w:spacing w:line="288" w:lineRule="auto"/>
              <w:jc w:val="center"/>
              <w:rPr>
                <w:rFonts w:ascii="宋体" w:hAnsi="宋体" w:eastAsia="宋体"/>
                <w:sz w:val="18"/>
                <w:szCs w:val="18"/>
              </w:rPr>
            </w:pPr>
          </w:p>
        </w:tc>
        <w:tc>
          <w:tcPr>
            <w:tcW w:w="1276" w:type="dxa"/>
            <w:tcBorders>
              <w:top w:val="single" w:color="auto" w:sz="6" w:space="0"/>
            </w:tcBorders>
            <w:tcMar>
              <w:top w:w="60" w:type="dxa"/>
              <w:left w:w="120" w:type="dxa"/>
              <w:bottom w:w="30" w:type="dxa"/>
              <w:right w:w="120" w:type="dxa"/>
            </w:tcMar>
            <w:vAlign w:val="center"/>
          </w:tcPr>
          <w:p w14:paraId="797F33D9">
            <w:pPr>
              <w:spacing w:line="288" w:lineRule="auto"/>
              <w:jc w:val="center"/>
              <w:rPr>
                <w:rFonts w:ascii="宋体" w:hAnsi="宋体" w:eastAsia="宋体"/>
                <w:sz w:val="18"/>
                <w:szCs w:val="18"/>
              </w:rPr>
            </w:pPr>
            <w:r>
              <w:rPr>
                <w:rFonts w:ascii="宋体" w:hAnsi="宋体" w:eastAsia="宋体" w:cs="Arial"/>
                <w:sz w:val="18"/>
                <w:szCs w:val="18"/>
              </w:rPr>
              <w:t>应提交</w:t>
            </w:r>
          </w:p>
        </w:tc>
      </w:tr>
      <w:tr w14:paraId="6AF753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Mar>
              <w:top w:w="60" w:type="dxa"/>
              <w:left w:w="120" w:type="dxa"/>
              <w:bottom w:w="30" w:type="dxa"/>
              <w:right w:w="120" w:type="dxa"/>
            </w:tcMar>
            <w:vAlign w:val="center"/>
          </w:tcPr>
          <w:p w14:paraId="15DBB29B">
            <w:pPr>
              <w:spacing w:line="288" w:lineRule="auto"/>
              <w:rPr>
                <w:rFonts w:ascii="宋体" w:hAnsi="宋体" w:eastAsia="宋体"/>
                <w:sz w:val="18"/>
                <w:szCs w:val="18"/>
              </w:rPr>
            </w:pPr>
            <w:r>
              <w:rPr>
                <w:rFonts w:ascii="宋体" w:hAnsi="宋体" w:eastAsia="宋体" w:cs="Arial"/>
                <w:sz w:val="18"/>
                <w:szCs w:val="18"/>
              </w:rPr>
              <w:t>最大程度降碳声明（若适用）</w:t>
            </w:r>
          </w:p>
        </w:tc>
        <w:tc>
          <w:tcPr>
            <w:tcW w:w="1134" w:type="dxa"/>
            <w:tcMar>
              <w:top w:w="60" w:type="dxa"/>
              <w:left w:w="120" w:type="dxa"/>
              <w:bottom w:w="30" w:type="dxa"/>
              <w:right w:w="120" w:type="dxa"/>
            </w:tcMar>
            <w:vAlign w:val="center"/>
          </w:tcPr>
          <w:p w14:paraId="285F946A">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75CD7182">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6588819C">
            <w:pPr>
              <w:spacing w:line="288" w:lineRule="auto"/>
              <w:jc w:val="center"/>
              <w:rPr>
                <w:rFonts w:ascii="宋体" w:hAnsi="宋体" w:eastAsia="宋体"/>
                <w:sz w:val="18"/>
                <w:szCs w:val="18"/>
              </w:rPr>
            </w:pPr>
            <w:r>
              <w:rPr>
                <w:rFonts w:ascii="宋体" w:hAnsi="宋体" w:eastAsia="宋体" w:cs="Arial"/>
                <w:sz w:val="18"/>
                <w:szCs w:val="18"/>
              </w:rPr>
              <w:t>/</w:t>
            </w:r>
          </w:p>
        </w:tc>
        <w:tc>
          <w:tcPr>
            <w:tcW w:w="992" w:type="dxa"/>
            <w:tcMar>
              <w:top w:w="60" w:type="dxa"/>
              <w:left w:w="120" w:type="dxa"/>
              <w:bottom w:w="30" w:type="dxa"/>
              <w:right w:w="120" w:type="dxa"/>
            </w:tcMar>
            <w:vAlign w:val="center"/>
          </w:tcPr>
          <w:p w14:paraId="40E12167">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Mar>
              <w:top w:w="60" w:type="dxa"/>
              <w:left w:w="120" w:type="dxa"/>
              <w:bottom w:w="30" w:type="dxa"/>
              <w:right w:w="120" w:type="dxa"/>
            </w:tcMar>
            <w:vAlign w:val="center"/>
          </w:tcPr>
          <w:p w14:paraId="17CB3D32">
            <w:pPr>
              <w:spacing w:line="288" w:lineRule="auto"/>
              <w:jc w:val="center"/>
              <w:rPr>
                <w:rFonts w:ascii="宋体" w:hAnsi="宋体" w:eastAsia="宋体"/>
                <w:sz w:val="18"/>
                <w:szCs w:val="18"/>
              </w:rPr>
            </w:pPr>
            <w:r>
              <w:rPr>
                <w:rFonts w:ascii="宋体" w:hAnsi="宋体" w:eastAsia="宋体" w:cs="Arial"/>
                <w:sz w:val="18"/>
                <w:szCs w:val="18"/>
              </w:rPr>
              <w:t>/</w:t>
            </w:r>
          </w:p>
        </w:tc>
      </w:tr>
      <w:tr w14:paraId="73892D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Mar>
              <w:top w:w="60" w:type="dxa"/>
              <w:left w:w="120" w:type="dxa"/>
              <w:bottom w:w="30" w:type="dxa"/>
              <w:right w:w="120" w:type="dxa"/>
            </w:tcMar>
            <w:vAlign w:val="center"/>
          </w:tcPr>
          <w:p w14:paraId="2D4363ED">
            <w:pPr>
              <w:spacing w:line="288" w:lineRule="auto"/>
              <w:rPr>
                <w:rFonts w:ascii="宋体" w:hAnsi="宋体" w:eastAsia="宋体"/>
                <w:sz w:val="18"/>
                <w:szCs w:val="18"/>
              </w:rPr>
            </w:pPr>
            <w:r>
              <w:rPr>
                <w:rFonts w:ascii="宋体" w:hAnsi="宋体" w:eastAsia="宋体" w:cs="Arial"/>
                <w:sz w:val="18"/>
                <w:szCs w:val="18"/>
              </w:rPr>
              <w:t>碳抵消</w:t>
            </w:r>
          </w:p>
          <w:p w14:paraId="0D5D425C">
            <w:pPr>
              <w:spacing w:line="288" w:lineRule="auto"/>
              <w:rPr>
                <w:rFonts w:ascii="宋体" w:hAnsi="宋体" w:eastAsia="宋体"/>
                <w:sz w:val="18"/>
                <w:szCs w:val="18"/>
              </w:rPr>
            </w:pPr>
            <w:r>
              <w:rPr>
                <w:rFonts w:ascii="宋体" w:hAnsi="宋体" w:eastAsia="宋体" w:cs="Arial"/>
                <w:sz w:val="18"/>
                <w:szCs w:val="18"/>
              </w:rPr>
              <w:t>（采用的碳抵消方法、所获得的碳补偿额度的数量和类型）</w:t>
            </w:r>
          </w:p>
        </w:tc>
        <w:tc>
          <w:tcPr>
            <w:tcW w:w="1134" w:type="dxa"/>
            <w:tcMar>
              <w:top w:w="60" w:type="dxa"/>
              <w:left w:w="120" w:type="dxa"/>
              <w:bottom w:w="30" w:type="dxa"/>
              <w:right w:w="120" w:type="dxa"/>
            </w:tcMar>
            <w:vAlign w:val="center"/>
          </w:tcPr>
          <w:p w14:paraId="4DC76CEE">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76AAD86D">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133DB201">
            <w:pPr>
              <w:spacing w:line="288" w:lineRule="auto"/>
              <w:jc w:val="center"/>
              <w:rPr>
                <w:rFonts w:ascii="宋体" w:hAnsi="宋体" w:eastAsia="宋体"/>
                <w:sz w:val="18"/>
                <w:szCs w:val="18"/>
              </w:rPr>
            </w:pPr>
            <w:r>
              <w:rPr>
                <w:rFonts w:ascii="宋体" w:hAnsi="宋体" w:eastAsia="宋体" w:cs="Arial"/>
                <w:sz w:val="18"/>
                <w:szCs w:val="18"/>
              </w:rPr>
              <w:t>/</w:t>
            </w:r>
          </w:p>
        </w:tc>
        <w:tc>
          <w:tcPr>
            <w:tcW w:w="992" w:type="dxa"/>
            <w:tcMar>
              <w:top w:w="60" w:type="dxa"/>
              <w:left w:w="120" w:type="dxa"/>
              <w:bottom w:w="30" w:type="dxa"/>
              <w:right w:w="120" w:type="dxa"/>
            </w:tcMar>
            <w:vAlign w:val="center"/>
          </w:tcPr>
          <w:p w14:paraId="40E29320">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Mar>
              <w:top w:w="60" w:type="dxa"/>
              <w:left w:w="120" w:type="dxa"/>
              <w:bottom w:w="30" w:type="dxa"/>
              <w:right w:w="120" w:type="dxa"/>
            </w:tcMar>
            <w:vAlign w:val="center"/>
          </w:tcPr>
          <w:p w14:paraId="4F330665">
            <w:pPr>
              <w:spacing w:line="288" w:lineRule="auto"/>
              <w:jc w:val="center"/>
              <w:rPr>
                <w:rFonts w:ascii="宋体" w:hAnsi="宋体" w:eastAsia="宋体"/>
                <w:sz w:val="18"/>
                <w:szCs w:val="18"/>
              </w:rPr>
            </w:pPr>
            <w:r>
              <w:rPr>
                <w:rFonts w:ascii="宋体" w:hAnsi="宋体" w:eastAsia="宋体" w:cs="Arial"/>
                <w:sz w:val="18"/>
                <w:szCs w:val="18"/>
              </w:rPr>
              <w:t>应提交</w:t>
            </w:r>
          </w:p>
        </w:tc>
      </w:tr>
      <w:tr w14:paraId="5F4804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Mar>
              <w:top w:w="60" w:type="dxa"/>
              <w:left w:w="120" w:type="dxa"/>
              <w:bottom w:w="30" w:type="dxa"/>
              <w:right w:w="120" w:type="dxa"/>
            </w:tcMar>
            <w:vAlign w:val="center"/>
          </w:tcPr>
          <w:p w14:paraId="709EB029">
            <w:pPr>
              <w:spacing w:line="288" w:lineRule="auto"/>
              <w:rPr>
                <w:rFonts w:ascii="宋体" w:hAnsi="宋体" w:eastAsia="宋体"/>
                <w:sz w:val="18"/>
                <w:szCs w:val="18"/>
              </w:rPr>
            </w:pPr>
            <w:r>
              <w:rPr>
                <w:rFonts w:ascii="宋体" w:hAnsi="宋体" w:eastAsia="宋体" w:cs="Arial"/>
                <w:sz w:val="18"/>
                <w:szCs w:val="18"/>
              </w:rPr>
              <w:t>碳抵消验证声明</w:t>
            </w:r>
          </w:p>
        </w:tc>
        <w:tc>
          <w:tcPr>
            <w:tcW w:w="1134" w:type="dxa"/>
            <w:tcMar>
              <w:top w:w="60" w:type="dxa"/>
              <w:left w:w="120" w:type="dxa"/>
              <w:bottom w:w="30" w:type="dxa"/>
              <w:right w:w="120" w:type="dxa"/>
            </w:tcMar>
            <w:vAlign w:val="center"/>
          </w:tcPr>
          <w:p w14:paraId="12D91181">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2C81380A">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744F979E">
            <w:pPr>
              <w:spacing w:line="288" w:lineRule="auto"/>
              <w:jc w:val="center"/>
              <w:rPr>
                <w:rFonts w:ascii="宋体" w:hAnsi="宋体" w:eastAsia="宋体"/>
                <w:sz w:val="18"/>
                <w:szCs w:val="18"/>
              </w:rPr>
            </w:pPr>
            <w:r>
              <w:rPr>
                <w:rFonts w:ascii="宋体" w:hAnsi="宋体" w:eastAsia="宋体" w:cs="Arial"/>
                <w:sz w:val="18"/>
                <w:szCs w:val="18"/>
              </w:rPr>
              <w:t>/</w:t>
            </w:r>
          </w:p>
        </w:tc>
        <w:tc>
          <w:tcPr>
            <w:tcW w:w="992" w:type="dxa"/>
            <w:tcMar>
              <w:top w:w="60" w:type="dxa"/>
              <w:left w:w="120" w:type="dxa"/>
              <w:bottom w:w="30" w:type="dxa"/>
              <w:right w:w="120" w:type="dxa"/>
            </w:tcMar>
            <w:vAlign w:val="center"/>
          </w:tcPr>
          <w:p w14:paraId="2C788D3F">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Mar>
              <w:top w:w="60" w:type="dxa"/>
              <w:left w:w="120" w:type="dxa"/>
              <w:bottom w:w="30" w:type="dxa"/>
              <w:right w:w="120" w:type="dxa"/>
            </w:tcMar>
            <w:vAlign w:val="center"/>
          </w:tcPr>
          <w:p w14:paraId="27CF85AD">
            <w:pPr>
              <w:spacing w:line="288" w:lineRule="auto"/>
              <w:jc w:val="center"/>
              <w:rPr>
                <w:rFonts w:ascii="宋体" w:hAnsi="宋体" w:eastAsia="宋体"/>
                <w:sz w:val="18"/>
                <w:szCs w:val="18"/>
              </w:rPr>
            </w:pPr>
            <w:r>
              <w:rPr>
                <w:rFonts w:ascii="宋体" w:hAnsi="宋体" w:eastAsia="宋体" w:cs="Arial"/>
                <w:sz w:val="18"/>
                <w:szCs w:val="18"/>
              </w:rPr>
              <w:t>应提交</w:t>
            </w:r>
          </w:p>
        </w:tc>
      </w:tr>
      <w:tr w14:paraId="59CAE3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 w:type="dxa"/>
            <w:bottom w:w="0" w:type="dxa"/>
            <w:right w:w="10" w:type="dxa"/>
          </w:tblCellMar>
        </w:tblPrEx>
        <w:tc>
          <w:tcPr>
            <w:tcW w:w="3261" w:type="dxa"/>
            <w:tcMar>
              <w:top w:w="60" w:type="dxa"/>
              <w:left w:w="120" w:type="dxa"/>
              <w:bottom w:w="30" w:type="dxa"/>
              <w:right w:w="120" w:type="dxa"/>
            </w:tcMar>
            <w:vAlign w:val="center"/>
          </w:tcPr>
          <w:p w14:paraId="68F00D11">
            <w:pPr>
              <w:spacing w:line="288" w:lineRule="auto"/>
              <w:rPr>
                <w:rFonts w:ascii="宋体" w:hAnsi="宋体" w:eastAsia="宋体"/>
                <w:sz w:val="18"/>
                <w:szCs w:val="18"/>
              </w:rPr>
            </w:pPr>
            <w:r>
              <w:rPr>
                <w:rFonts w:ascii="宋体" w:hAnsi="宋体" w:eastAsia="宋体" w:cs="Arial"/>
                <w:sz w:val="18"/>
                <w:szCs w:val="18"/>
              </w:rPr>
              <w:t>维持净零绩效的计划</w:t>
            </w:r>
          </w:p>
        </w:tc>
        <w:tc>
          <w:tcPr>
            <w:tcW w:w="1134" w:type="dxa"/>
            <w:tcMar>
              <w:top w:w="60" w:type="dxa"/>
              <w:left w:w="120" w:type="dxa"/>
              <w:bottom w:w="30" w:type="dxa"/>
              <w:right w:w="120" w:type="dxa"/>
            </w:tcMar>
            <w:vAlign w:val="center"/>
          </w:tcPr>
          <w:p w14:paraId="5C324381">
            <w:pPr>
              <w:spacing w:line="288" w:lineRule="auto"/>
              <w:jc w:val="center"/>
              <w:rPr>
                <w:rFonts w:ascii="宋体" w:hAnsi="宋体" w:eastAsia="宋体"/>
                <w:sz w:val="18"/>
                <w:szCs w:val="18"/>
              </w:rPr>
            </w:pPr>
            <w:r>
              <w:rPr>
                <w:rFonts w:ascii="宋体" w:hAnsi="宋体" w:eastAsia="宋体" w:cs="Arial"/>
                <w:sz w:val="18"/>
                <w:szCs w:val="18"/>
              </w:rPr>
              <w:t>/</w:t>
            </w:r>
          </w:p>
        </w:tc>
        <w:tc>
          <w:tcPr>
            <w:tcW w:w="1134" w:type="dxa"/>
            <w:tcMar>
              <w:top w:w="60" w:type="dxa"/>
              <w:left w:w="120" w:type="dxa"/>
              <w:bottom w:w="30" w:type="dxa"/>
              <w:right w:w="120" w:type="dxa"/>
            </w:tcMar>
            <w:vAlign w:val="center"/>
          </w:tcPr>
          <w:p w14:paraId="0F548F26">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134" w:type="dxa"/>
            <w:tcMar>
              <w:top w:w="60" w:type="dxa"/>
              <w:left w:w="120" w:type="dxa"/>
              <w:bottom w:w="30" w:type="dxa"/>
              <w:right w:w="120" w:type="dxa"/>
            </w:tcMar>
            <w:vAlign w:val="center"/>
          </w:tcPr>
          <w:p w14:paraId="3A044BC5">
            <w:pPr>
              <w:spacing w:line="288" w:lineRule="auto"/>
              <w:jc w:val="center"/>
              <w:rPr>
                <w:rFonts w:ascii="宋体" w:hAnsi="宋体" w:eastAsia="宋体"/>
                <w:sz w:val="18"/>
                <w:szCs w:val="18"/>
              </w:rPr>
            </w:pPr>
            <w:r>
              <w:rPr>
                <w:rFonts w:ascii="宋体" w:hAnsi="宋体" w:eastAsia="宋体" w:cs="Arial"/>
                <w:sz w:val="18"/>
                <w:szCs w:val="18"/>
              </w:rPr>
              <w:t>应提交</w:t>
            </w:r>
          </w:p>
        </w:tc>
        <w:tc>
          <w:tcPr>
            <w:tcW w:w="992" w:type="dxa"/>
            <w:tcMar>
              <w:top w:w="60" w:type="dxa"/>
              <w:left w:w="120" w:type="dxa"/>
              <w:bottom w:w="30" w:type="dxa"/>
              <w:right w:w="120" w:type="dxa"/>
            </w:tcMar>
            <w:vAlign w:val="center"/>
          </w:tcPr>
          <w:p w14:paraId="51DB896D">
            <w:pPr>
              <w:spacing w:line="288" w:lineRule="auto"/>
              <w:jc w:val="center"/>
              <w:rPr>
                <w:rFonts w:ascii="宋体" w:hAnsi="宋体" w:eastAsia="宋体"/>
                <w:sz w:val="18"/>
                <w:szCs w:val="18"/>
              </w:rPr>
            </w:pPr>
            <w:r>
              <w:rPr>
                <w:rFonts w:ascii="宋体" w:hAnsi="宋体" w:eastAsia="宋体" w:cs="Arial"/>
                <w:sz w:val="18"/>
                <w:szCs w:val="18"/>
              </w:rPr>
              <w:t>应提交</w:t>
            </w:r>
          </w:p>
        </w:tc>
        <w:tc>
          <w:tcPr>
            <w:tcW w:w="1276" w:type="dxa"/>
            <w:tcMar>
              <w:top w:w="60" w:type="dxa"/>
              <w:left w:w="120" w:type="dxa"/>
              <w:bottom w:w="30" w:type="dxa"/>
              <w:right w:w="120" w:type="dxa"/>
            </w:tcMar>
            <w:vAlign w:val="center"/>
          </w:tcPr>
          <w:p w14:paraId="6E33F1A9">
            <w:pPr>
              <w:spacing w:line="288" w:lineRule="auto"/>
              <w:jc w:val="center"/>
              <w:rPr>
                <w:rFonts w:ascii="宋体" w:hAnsi="宋体" w:eastAsia="宋体"/>
                <w:sz w:val="18"/>
                <w:szCs w:val="18"/>
              </w:rPr>
            </w:pPr>
            <w:r>
              <w:rPr>
                <w:rFonts w:ascii="宋体" w:hAnsi="宋体" w:eastAsia="宋体" w:cs="Arial"/>
                <w:sz w:val="18"/>
                <w:szCs w:val="18"/>
              </w:rPr>
              <w:t>应提交</w:t>
            </w:r>
          </w:p>
        </w:tc>
      </w:tr>
    </w:tbl>
    <w:p w14:paraId="2BA2E6DB">
      <w:pPr>
        <w:widowControl/>
        <w:jc w:val="left"/>
        <w:rPr>
          <w:rFonts w:ascii="黑体" w:hAnsi="黑体" w:eastAsia="黑体" w:cs="Arial"/>
          <w:bCs/>
          <w:szCs w:val="21"/>
        </w:rPr>
      </w:pPr>
      <w:bookmarkStart w:id="68" w:name="heading_46"/>
      <w:r>
        <w:rPr>
          <w:rFonts w:ascii="黑体" w:hAnsi="黑体" w:eastAsia="黑体" w:cs="Arial"/>
          <w:bCs/>
          <w:szCs w:val="21"/>
        </w:rPr>
        <w:br w:type="page"/>
      </w:r>
    </w:p>
    <w:p w14:paraId="3B5F3214">
      <w:pPr>
        <w:spacing w:before="300" w:after="120" w:line="288" w:lineRule="auto"/>
        <w:jc w:val="center"/>
        <w:outlineLvl w:val="2"/>
        <w:rPr>
          <w:rFonts w:ascii="Arial" w:hAnsi="Arial" w:eastAsia="等线" w:cs="Arial"/>
          <w:b/>
          <w:sz w:val="30"/>
        </w:rPr>
      </w:pPr>
      <w:r>
        <w:rPr>
          <w:rStyle w:val="22"/>
          <w:rFonts w:hint="eastAsia" w:ascii="黑体" w:hAnsi="黑体" w:eastAsia="黑体"/>
          <w:color w:val="000000"/>
          <w:szCs w:val="21"/>
          <w:shd w:val="clear" w:color="auto" w:fill="FFFFFF"/>
        </w:rPr>
        <w:t>附 录 E</w:t>
      </w:r>
    </w:p>
    <w:p w14:paraId="382041C5">
      <w:pPr>
        <w:spacing w:line="360" w:lineRule="auto"/>
        <w:jc w:val="center"/>
        <w:rPr>
          <w:rFonts w:ascii="黑体" w:hAnsi="黑体" w:eastAsia="黑体" w:cs="Arial"/>
          <w:bCs/>
          <w:szCs w:val="21"/>
        </w:rPr>
      </w:pPr>
      <w:r>
        <w:rPr>
          <w:rFonts w:hint="eastAsia" w:ascii="黑体" w:hAnsi="黑体" w:eastAsia="黑体" w:cs="Arial"/>
          <w:bCs/>
          <w:szCs w:val="21"/>
        </w:rPr>
        <w:t>（资料性）</w:t>
      </w:r>
    </w:p>
    <w:p w14:paraId="1756F1FA">
      <w:pPr>
        <w:jc w:val="center"/>
        <w:rPr>
          <w:rFonts w:ascii="黑体" w:hAnsi="黑体" w:eastAsia="黑体" w:cs="Arial"/>
          <w:bCs/>
          <w:szCs w:val="21"/>
        </w:rPr>
      </w:pPr>
      <w:r>
        <w:rPr>
          <w:rFonts w:ascii="黑体" w:hAnsi="黑体" w:eastAsia="黑体" w:cs="Arial"/>
          <w:bCs/>
          <w:szCs w:val="21"/>
        </w:rPr>
        <w:t>评价报告</w:t>
      </w:r>
      <w:bookmarkEnd w:id="68"/>
    </w:p>
    <w:p w14:paraId="3F1F3760">
      <w:pPr>
        <w:spacing w:before="120" w:after="120" w:line="288" w:lineRule="auto"/>
        <w:jc w:val="left"/>
        <w:rPr>
          <w:rFonts w:ascii="宋体" w:hAnsi="宋体" w:eastAsia="宋体"/>
          <w:szCs w:val="21"/>
        </w:rPr>
      </w:pPr>
      <w:r>
        <w:rPr>
          <w:rFonts w:ascii="宋体" w:hAnsi="宋体" w:eastAsia="宋体" w:cs="Arial"/>
          <w:szCs w:val="21"/>
        </w:rPr>
        <w:t>一、概述</w:t>
      </w:r>
    </w:p>
    <w:p w14:paraId="2B9C255C">
      <w:pPr>
        <w:spacing w:before="120" w:after="120" w:line="288" w:lineRule="auto"/>
        <w:ind w:firstLine="420"/>
        <w:jc w:val="left"/>
        <w:rPr>
          <w:rFonts w:ascii="宋体" w:hAnsi="宋体" w:eastAsia="宋体"/>
          <w:szCs w:val="21"/>
        </w:rPr>
      </w:pPr>
      <w:r>
        <w:rPr>
          <w:rFonts w:ascii="宋体" w:hAnsi="宋体" w:eastAsia="宋体" w:cs="Arial"/>
          <w:szCs w:val="21"/>
        </w:rPr>
        <w:t>主要介绍建筑评价的目的、范围及准则，基本情况等。</w:t>
      </w:r>
    </w:p>
    <w:p w14:paraId="2051F8D7">
      <w:pPr>
        <w:spacing w:before="120" w:after="120" w:line="288" w:lineRule="auto"/>
        <w:jc w:val="left"/>
        <w:rPr>
          <w:rFonts w:ascii="宋体" w:hAnsi="宋体" w:eastAsia="宋体"/>
          <w:szCs w:val="21"/>
        </w:rPr>
      </w:pPr>
      <w:r>
        <w:rPr>
          <w:rFonts w:ascii="宋体" w:hAnsi="宋体" w:eastAsia="宋体" w:cs="Arial"/>
          <w:szCs w:val="21"/>
        </w:rPr>
        <w:t>二、评价过程和方法</w:t>
      </w:r>
    </w:p>
    <w:p w14:paraId="03C40F59">
      <w:pPr>
        <w:spacing w:before="120" w:after="120" w:line="288" w:lineRule="auto"/>
        <w:ind w:left="453"/>
        <w:jc w:val="left"/>
        <w:rPr>
          <w:rFonts w:ascii="宋体" w:hAnsi="宋体" w:eastAsia="宋体"/>
          <w:szCs w:val="21"/>
        </w:rPr>
      </w:pPr>
      <w:r>
        <w:rPr>
          <w:rFonts w:ascii="宋体" w:hAnsi="宋体" w:eastAsia="宋体" w:cs="Arial"/>
          <w:szCs w:val="21"/>
        </w:rPr>
        <w:t>主要介绍评价组织安排、文件评审情况、现场评价情况、核查报告编写及内部技术复核情况。</w:t>
      </w:r>
    </w:p>
    <w:p w14:paraId="138D8880">
      <w:pPr>
        <w:spacing w:before="120" w:after="120" w:line="288" w:lineRule="auto"/>
        <w:jc w:val="left"/>
        <w:rPr>
          <w:rFonts w:ascii="宋体" w:hAnsi="宋体" w:eastAsia="宋体"/>
          <w:szCs w:val="21"/>
        </w:rPr>
      </w:pPr>
      <w:r>
        <w:rPr>
          <w:rFonts w:ascii="宋体" w:hAnsi="宋体" w:eastAsia="宋体" w:cs="Arial"/>
          <w:szCs w:val="21"/>
        </w:rPr>
        <w:t>三、评价内容</w:t>
      </w:r>
    </w:p>
    <w:p w14:paraId="37BA4EB2">
      <w:pPr>
        <w:spacing w:before="120" w:after="120" w:line="288" w:lineRule="auto"/>
        <w:ind w:firstLine="420"/>
        <w:jc w:val="left"/>
        <w:rPr>
          <w:rFonts w:ascii="宋体" w:hAnsi="宋体" w:eastAsia="宋体"/>
          <w:szCs w:val="21"/>
        </w:rPr>
      </w:pPr>
      <w:r>
        <w:rPr>
          <w:rFonts w:ascii="宋体" w:hAnsi="宋体" w:eastAsia="宋体" w:cs="Arial"/>
          <w:szCs w:val="21"/>
        </w:rPr>
        <w:t>评价方可按以下内容对申报项进行评价:1、对建筑基本要求的核查情况;2、基于申请评价项评价要求的核实情况;3、对建筑评价过程中出现的问题情况进行描述。</w:t>
      </w:r>
    </w:p>
    <w:p w14:paraId="0169E559">
      <w:pPr>
        <w:spacing w:before="120" w:after="120" w:line="288" w:lineRule="auto"/>
        <w:jc w:val="left"/>
        <w:rPr>
          <w:rFonts w:ascii="宋体" w:hAnsi="宋体" w:eastAsia="宋体"/>
          <w:szCs w:val="21"/>
        </w:rPr>
      </w:pPr>
      <w:r>
        <w:rPr>
          <w:rFonts w:ascii="宋体" w:hAnsi="宋体" w:eastAsia="宋体" w:cs="Arial"/>
          <w:szCs w:val="21"/>
        </w:rPr>
        <w:t>四、评价结论</w:t>
      </w:r>
    </w:p>
    <w:p w14:paraId="56904346">
      <w:pPr>
        <w:spacing w:before="120" w:after="120" w:line="288" w:lineRule="auto"/>
        <w:ind w:firstLine="420"/>
        <w:jc w:val="left"/>
        <w:rPr>
          <w:rFonts w:ascii="宋体" w:hAnsi="宋体" w:eastAsia="宋体"/>
          <w:szCs w:val="21"/>
        </w:rPr>
      </w:pPr>
      <w:r>
        <w:rPr>
          <w:rFonts w:ascii="宋体" w:hAnsi="宋体" w:eastAsia="宋体" w:cs="Arial"/>
          <w:szCs w:val="21"/>
        </w:rPr>
        <w:t>对申报建筑是否符合要求进行评价，给出评价得分及等级划分，描述主要创建做法、工作亮点和仍存在的问题等。</w:t>
      </w:r>
    </w:p>
    <w:p w14:paraId="7771BA41">
      <w:pPr>
        <w:spacing w:before="120" w:after="120" w:line="288" w:lineRule="auto"/>
        <w:jc w:val="left"/>
        <w:rPr>
          <w:rFonts w:ascii="宋体" w:hAnsi="宋体" w:eastAsia="宋体"/>
          <w:szCs w:val="21"/>
        </w:rPr>
      </w:pPr>
      <w:r>
        <w:rPr>
          <w:rFonts w:ascii="宋体" w:hAnsi="宋体" w:eastAsia="宋体" w:cs="Arial"/>
          <w:szCs w:val="21"/>
        </w:rPr>
        <w:t>五、建议</w:t>
      </w:r>
    </w:p>
    <w:p w14:paraId="61035582">
      <w:pPr>
        <w:spacing w:before="120" w:after="120" w:line="288" w:lineRule="auto"/>
        <w:ind w:firstLine="420"/>
        <w:jc w:val="left"/>
        <w:rPr>
          <w:rFonts w:ascii="宋体" w:hAnsi="宋体" w:eastAsia="宋体"/>
          <w:szCs w:val="21"/>
        </w:rPr>
      </w:pPr>
      <w:r>
        <w:rPr>
          <w:rFonts w:ascii="宋体" w:hAnsi="宋体" w:eastAsia="宋体" w:cs="Arial"/>
          <w:szCs w:val="21"/>
        </w:rPr>
        <w:t>对持续开展净零建筑创建或保持的下一步工作提出建议。</w:t>
      </w:r>
    </w:p>
    <w:p w14:paraId="57F44CD8">
      <w:pPr>
        <w:spacing w:before="120" w:after="120" w:line="288" w:lineRule="auto"/>
        <w:jc w:val="left"/>
        <w:rPr>
          <w:rFonts w:ascii="宋体" w:hAnsi="宋体" w:eastAsia="宋体"/>
          <w:szCs w:val="21"/>
        </w:rPr>
      </w:pPr>
      <w:r>
        <w:rPr>
          <w:rFonts w:ascii="宋体" w:hAnsi="宋体" w:eastAsia="宋体" w:cs="Arial"/>
          <w:szCs w:val="21"/>
        </w:rPr>
        <w:t>六、参考文件</w:t>
      </w:r>
    </w:p>
    <w:p w14:paraId="5234D488">
      <w:pPr>
        <w:spacing w:before="120" w:after="120" w:line="288" w:lineRule="auto"/>
        <w:ind w:firstLine="420"/>
        <w:jc w:val="left"/>
        <w:rPr>
          <w:rFonts w:ascii="宋体" w:hAnsi="宋体" w:eastAsia="宋体"/>
          <w:szCs w:val="21"/>
        </w:rPr>
      </w:pPr>
      <w:r>
        <w:rPr>
          <w:rFonts w:ascii="宋体" w:hAnsi="宋体" w:eastAsia="宋体" w:cs="Arial"/>
          <w:szCs w:val="21"/>
        </w:rPr>
        <w:t>列出报告编写过程中所使用的相关参考文件。</w:t>
      </w:r>
    </w:p>
    <w:p w14:paraId="4FCA4BFC">
      <w:pPr>
        <w:spacing w:before="120" w:after="120" w:line="288" w:lineRule="auto"/>
        <w:jc w:val="left"/>
      </w:pPr>
    </w:p>
    <w:p w14:paraId="3B1C8133">
      <w:pPr>
        <w:widowControl/>
        <w:jc w:val="left"/>
        <w:rPr>
          <w:rFonts w:ascii="Arial" w:hAnsi="Arial" w:eastAsia="等线" w:cs="Arial"/>
          <w:b/>
          <w:sz w:val="32"/>
        </w:rPr>
      </w:pPr>
      <w:bookmarkStart w:id="69" w:name="heading_47"/>
      <w:r>
        <w:rPr>
          <w:rFonts w:ascii="Arial" w:hAnsi="Arial" w:eastAsia="等线" w:cs="Arial"/>
          <w:b/>
          <w:sz w:val="32"/>
        </w:rPr>
        <w:br w:type="page"/>
      </w:r>
    </w:p>
    <w:p w14:paraId="51CAF42A">
      <w:pPr>
        <w:spacing w:before="320" w:after="120" w:line="288" w:lineRule="auto"/>
        <w:jc w:val="center"/>
        <w:outlineLvl w:val="1"/>
      </w:pPr>
      <w:bookmarkStart w:id="70" w:name="_Toc167487104"/>
      <w:r>
        <w:rPr>
          <w:rFonts w:ascii="Arial" w:hAnsi="Arial" w:eastAsia="等线" w:cs="Arial"/>
          <w:b/>
          <w:sz w:val="32"/>
        </w:rPr>
        <w:t>参考文献</w:t>
      </w:r>
      <w:bookmarkEnd w:id="69"/>
      <w:bookmarkEnd w:id="70"/>
    </w:p>
    <w:sectPr>
      <w:footerReference r:id="rId3" w:type="default"/>
      <w:footerReference r:id="rId4" w:type="even"/>
      <w:pgSz w:w="11905" w:h="16840"/>
      <w:pgMar w:top="1440" w:right="1134"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166281"/>
      <w:docPartObj>
        <w:docPartGallery w:val="AutoText"/>
      </w:docPartObj>
    </w:sdtPr>
    <w:sdtContent>
      <w:p w14:paraId="2C327A56">
        <w:pPr>
          <w:pStyle w:val="5"/>
          <w:jc w:val="right"/>
        </w:pPr>
        <w:r>
          <w:fldChar w:fldCharType="begin"/>
        </w:r>
        <w:r>
          <w:instrText xml:space="preserve">PAGE   \* MERGEFORMAT</w:instrText>
        </w:r>
        <w:r>
          <w:fldChar w:fldCharType="separate"/>
        </w:r>
        <w:r>
          <w:rPr>
            <w:lang w:val="zh-CN"/>
          </w:rPr>
          <w:t>2</w:t>
        </w:r>
        <w:r>
          <w:fldChar w:fldCharType="end"/>
        </w:r>
      </w:p>
    </w:sdtContent>
  </w:sdt>
  <w:p w14:paraId="302372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0059667"/>
      <w:docPartObj>
        <w:docPartGallery w:val="AutoText"/>
      </w:docPartObj>
    </w:sdtPr>
    <w:sdtContent>
      <w:p w14:paraId="4934C7C3">
        <w:pPr>
          <w:pStyle w:val="5"/>
        </w:pPr>
        <w:r>
          <w:fldChar w:fldCharType="begin"/>
        </w:r>
        <w:r>
          <w:instrText xml:space="preserve">PAGE   \* MERGEFORMAT</w:instrText>
        </w:r>
        <w:r>
          <w:fldChar w:fldCharType="separate"/>
        </w:r>
        <w:r>
          <w:rPr>
            <w:lang w:val="zh-CN"/>
          </w:rPr>
          <w:t>2</w:t>
        </w:r>
        <w:r>
          <w:fldChar w:fldCharType="end"/>
        </w:r>
      </w:p>
    </w:sdtContent>
  </w:sdt>
  <w:p w14:paraId="47F56AC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645E5"/>
    <w:multiLevelType w:val="multilevel"/>
    <w:tmpl w:val="079645E5"/>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86A0782"/>
    <w:multiLevelType w:val="multilevel"/>
    <w:tmpl w:val="086A078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CC87C42"/>
    <w:multiLevelType w:val="multilevel"/>
    <w:tmpl w:val="0CC87C4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15F223AF"/>
    <w:multiLevelType w:val="multilevel"/>
    <w:tmpl w:val="15F223AF"/>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17636DDF"/>
    <w:multiLevelType w:val="multilevel"/>
    <w:tmpl w:val="17636DD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19741FD5"/>
    <w:multiLevelType w:val="multilevel"/>
    <w:tmpl w:val="19741FD5"/>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22D03EFD"/>
    <w:multiLevelType w:val="multilevel"/>
    <w:tmpl w:val="22D03EF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24016534"/>
    <w:multiLevelType w:val="multilevel"/>
    <w:tmpl w:val="2401653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2A110AC6"/>
    <w:multiLevelType w:val="multilevel"/>
    <w:tmpl w:val="2A110AC6"/>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3EDA6700"/>
    <w:multiLevelType w:val="multilevel"/>
    <w:tmpl w:val="3EDA6700"/>
    <w:lvl w:ilvl="0" w:tentative="0">
      <w:start w:val="5"/>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41F22B32"/>
    <w:multiLevelType w:val="multilevel"/>
    <w:tmpl w:val="41F22B32"/>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430900FD"/>
    <w:multiLevelType w:val="multilevel"/>
    <w:tmpl w:val="430900FD"/>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45035413"/>
    <w:multiLevelType w:val="multilevel"/>
    <w:tmpl w:val="45035413"/>
    <w:lvl w:ilvl="0" w:tentative="0">
      <w:start w:val="1"/>
      <w:numFmt w:val="lowerLetter"/>
      <w:lvlText w:val="%1)"/>
      <w:lvlJc w:val="left"/>
      <w:pPr>
        <w:ind w:left="893" w:hanging="440"/>
      </w:pPr>
    </w:lvl>
    <w:lvl w:ilvl="1" w:tentative="0">
      <w:start w:val="1"/>
      <w:numFmt w:val="lowerLetter"/>
      <w:lvlText w:val="%2)"/>
      <w:lvlJc w:val="left"/>
      <w:pPr>
        <w:ind w:left="1333" w:hanging="440"/>
      </w:pPr>
    </w:lvl>
    <w:lvl w:ilvl="2" w:tentative="0">
      <w:start w:val="1"/>
      <w:numFmt w:val="lowerRoman"/>
      <w:lvlText w:val="%3."/>
      <w:lvlJc w:val="right"/>
      <w:pPr>
        <w:ind w:left="1773" w:hanging="440"/>
      </w:pPr>
    </w:lvl>
    <w:lvl w:ilvl="3" w:tentative="0">
      <w:start w:val="1"/>
      <w:numFmt w:val="decimal"/>
      <w:lvlText w:val="%4."/>
      <w:lvlJc w:val="left"/>
      <w:pPr>
        <w:ind w:left="2213" w:hanging="440"/>
      </w:pPr>
    </w:lvl>
    <w:lvl w:ilvl="4" w:tentative="0">
      <w:start w:val="1"/>
      <w:numFmt w:val="lowerLetter"/>
      <w:lvlText w:val="%5)"/>
      <w:lvlJc w:val="left"/>
      <w:pPr>
        <w:ind w:left="2653" w:hanging="440"/>
      </w:pPr>
    </w:lvl>
    <w:lvl w:ilvl="5" w:tentative="0">
      <w:start w:val="1"/>
      <w:numFmt w:val="lowerRoman"/>
      <w:lvlText w:val="%6."/>
      <w:lvlJc w:val="right"/>
      <w:pPr>
        <w:ind w:left="3093" w:hanging="440"/>
      </w:pPr>
    </w:lvl>
    <w:lvl w:ilvl="6" w:tentative="0">
      <w:start w:val="1"/>
      <w:numFmt w:val="decimal"/>
      <w:lvlText w:val="%7."/>
      <w:lvlJc w:val="left"/>
      <w:pPr>
        <w:ind w:left="3533" w:hanging="440"/>
      </w:pPr>
    </w:lvl>
    <w:lvl w:ilvl="7" w:tentative="0">
      <w:start w:val="1"/>
      <w:numFmt w:val="lowerLetter"/>
      <w:lvlText w:val="%8)"/>
      <w:lvlJc w:val="left"/>
      <w:pPr>
        <w:ind w:left="3973" w:hanging="440"/>
      </w:pPr>
    </w:lvl>
    <w:lvl w:ilvl="8" w:tentative="0">
      <w:start w:val="1"/>
      <w:numFmt w:val="lowerRoman"/>
      <w:lvlText w:val="%9."/>
      <w:lvlJc w:val="right"/>
      <w:pPr>
        <w:ind w:left="4413" w:hanging="440"/>
      </w:pPr>
    </w:lvl>
  </w:abstractNum>
  <w:abstractNum w:abstractNumId="13">
    <w:nsid w:val="604E69EF"/>
    <w:multiLevelType w:val="multilevel"/>
    <w:tmpl w:val="604E69EF"/>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6D884A2F"/>
    <w:multiLevelType w:val="multilevel"/>
    <w:tmpl w:val="6D884A2F"/>
    <w:lvl w:ilvl="0" w:tentative="0">
      <w:start w:val="1"/>
      <w:numFmt w:val="lowerLetter"/>
      <w:lvlText w:val="%1)"/>
      <w:lvlJc w:val="left"/>
      <w:pPr>
        <w:ind w:left="780" w:hanging="360"/>
      </w:pPr>
      <w:rPr>
        <w:rFonts w:hint="default"/>
      </w:rPr>
    </w:lvl>
    <w:lvl w:ilvl="1" w:tentative="0">
      <w:start w:val="1"/>
      <w:numFmt w:val="decimal"/>
      <w:lvlText w:val="%2）"/>
      <w:lvlJc w:val="left"/>
      <w:pPr>
        <w:ind w:left="1220" w:hanging="360"/>
      </w:pPr>
      <w:rPr>
        <w:rFonts w:hint="default" w:cs="Arial"/>
        <w:sz w:val="21"/>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729928AD"/>
    <w:multiLevelType w:val="multilevel"/>
    <w:tmpl w:val="729928AD"/>
    <w:lvl w:ilvl="0" w:tentative="0">
      <w:start w:val="1"/>
      <w:numFmt w:val="decimal"/>
      <w:lvlText w:val="%1"/>
      <w:lvlJc w:val="left"/>
      <w:pPr>
        <w:ind w:left="360" w:hanging="360"/>
      </w:pPr>
      <w:rPr>
        <w:rFonts w:hint="default"/>
      </w:rPr>
    </w:lvl>
    <w:lvl w:ilvl="1" w:tentative="0">
      <w:start w:val="2"/>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6">
    <w:nsid w:val="7D0506B9"/>
    <w:multiLevelType w:val="multilevel"/>
    <w:tmpl w:val="7D0506B9"/>
    <w:lvl w:ilvl="0" w:tentative="0">
      <w:start w:val="1"/>
      <w:numFmt w:val="lowerLetter"/>
      <w:lvlText w:val="%1)"/>
      <w:lvlJc w:val="left"/>
      <w:pPr>
        <w:ind w:left="780" w:hanging="360"/>
      </w:pPr>
      <w:rPr>
        <w:rFonts w:hint="default"/>
      </w:rPr>
    </w:lvl>
    <w:lvl w:ilvl="1" w:tentative="0">
      <w:start w:val="1"/>
      <w:numFmt w:val="lowerLetter"/>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7E502329"/>
    <w:multiLevelType w:val="multilevel"/>
    <w:tmpl w:val="7E502329"/>
    <w:lvl w:ilvl="0" w:tentative="0">
      <w:start w:val="4"/>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5"/>
  </w:num>
  <w:num w:numId="2">
    <w:abstractNumId w:val="4"/>
  </w:num>
  <w:num w:numId="3">
    <w:abstractNumId w:val="16"/>
  </w:num>
  <w:num w:numId="4">
    <w:abstractNumId w:val="17"/>
  </w:num>
  <w:num w:numId="5">
    <w:abstractNumId w:val="10"/>
  </w:num>
  <w:num w:numId="6">
    <w:abstractNumId w:val="7"/>
  </w:num>
  <w:num w:numId="7">
    <w:abstractNumId w:val="8"/>
  </w:num>
  <w:num w:numId="8">
    <w:abstractNumId w:val="11"/>
  </w:num>
  <w:num w:numId="9">
    <w:abstractNumId w:val="5"/>
  </w:num>
  <w:num w:numId="10">
    <w:abstractNumId w:val="14"/>
  </w:num>
  <w:num w:numId="11">
    <w:abstractNumId w:val="3"/>
  </w:num>
  <w:num w:numId="12">
    <w:abstractNumId w:val="0"/>
  </w:num>
  <w:num w:numId="13">
    <w:abstractNumId w:val="9"/>
  </w:num>
  <w:num w:numId="14">
    <w:abstractNumId w:val="12"/>
  </w:num>
  <w:num w:numId="15">
    <w:abstractNumId w:val="1"/>
  </w:num>
  <w:num w:numId="16">
    <w:abstractNumId w:val="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38"/>
    <w:rsid w:val="0002041D"/>
    <w:rsid w:val="0003117C"/>
    <w:rsid w:val="000461EC"/>
    <w:rsid w:val="000543D2"/>
    <w:rsid w:val="000728A0"/>
    <w:rsid w:val="001104F6"/>
    <w:rsid w:val="00167E34"/>
    <w:rsid w:val="00172118"/>
    <w:rsid w:val="001A16E2"/>
    <w:rsid w:val="001A5D89"/>
    <w:rsid w:val="001C1BDE"/>
    <w:rsid w:val="001D5DED"/>
    <w:rsid w:val="00211F7E"/>
    <w:rsid w:val="00223CD8"/>
    <w:rsid w:val="00267301"/>
    <w:rsid w:val="002B5BEC"/>
    <w:rsid w:val="002C70B5"/>
    <w:rsid w:val="002D5F82"/>
    <w:rsid w:val="00313AE0"/>
    <w:rsid w:val="00313EA2"/>
    <w:rsid w:val="00362108"/>
    <w:rsid w:val="00383B71"/>
    <w:rsid w:val="0039357C"/>
    <w:rsid w:val="003C7830"/>
    <w:rsid w:val="003D08CD"/>
    <w:rsid w:val="003D11F1"/>
    <w:rsid w:val="003E724E"/>
    <w:rsid w:val="00402C7F"/>
    <w:rsid w:val="0042394E"/>
    <w:rsid w:val="00427AA2"/>
    <w:rsid w:val="00445FD4"/>
    <w:rsid w:val="00456F30"/>
    <w:rsid w:val="0047395C"/>
    <w:rsid w:val="004D7AE0"/>
    <w:rsid w:val="004F0BCE"/>
    <w:rsid w:val="00524241"/>
    <w:rsid w:val="00545A94"/>
    <w:rsid w:val="00555CC0"/>
    <w:rsid w:val="00564450"/>
    <w:rsid w:val="005B0E9B"/>
    <w:rsid w:val="00615CB6"/>
    <w:rsid w:val="006306F2"/>
    <w:rsid w:val="00630B3A"/>
    <w:rsid w:val="00646F0D"/>
    <w:rsid w:val="0067150E"/>
    <w:rsid w:val="006A156A"/>
    <w:rsid w:val="006F2F29"/>
    <w:rsid w:val="0071471E"/>
    <w:rsid w:val="007613F6"/>
    <w:rsid w:val="007B048B"/>
    <w:rsid w:val="007C6B62"/>
    <w:rsid w:val="007E52FF"/>
    <w:rsid w:val="007E7A25"/>
    <w:rsid w:val="007F03DF"/>
    <w:rsid w:val="00812E46"/>
    <w:rsid w:val="008357E7"/>
    <w:rsid w:val="00840785"/>
    <w:rsid w:val="00887E2A"/>
    <w:rsid w:val="0089701D"/>
    <w:rsid w:val="008A66D2"/>
    <w:rsid w:val="008C2938"/>
    <w:rsid w:val="00903308"/>
    <w:rsid w:val="00907B8E"/>
    <w:rsid w:val="00911957"/>
    <w:rsid w:val="009450F1"/>
    <w:rsid w:val="00950E0F"/>
    <w:rsid w:val="00964CFC"/>
    <w:rsid w:val="00990C61"/>
    <w:rsid w:val="009A71DD"/>
    <w:rsid w:val="009D4F31"/>
    <w:rsid w:val="00A222CC"/>
    <w:rsid w:val="00A40E4B"/>
    <w:rsid w:val="00A43E0A"/>
    <w:rsid w:val="00A46352"/>
    <w:rsid w:val="00A67577"/>
    <w:rsid w:val="00A748FD"/>
    <w:rsid w:val="00A752F7"/>
    <w:rsid w:val="00AC48AC"/>
    <w:rsid w:val="00AE0A68"/>
    <w:rsid w:val="00AE27B2"/>
    <w:rsid w:val="00AF21B3"/>
    <w:rsid w:val="00B20315"/>
    <w:rsid w:val="00B253F4"/>
    <w:rsid w:val="00BC22AA"/>
    <w:rsid w:val="00C311C0"/>
    <w:rsid w:val="00CB6454"/>
    <w:rsid w:val="00D16E53"/>
    <w:rsid w:val="00D37552"/>
    <w:rsid w:val="00D77815"/>
    <w:rsid w:val="00D83460"/>
    <w:rsid w:val="00DC2CB1"/>
    <w:rsid w:val="00E0157F"/>
    <w:rsid w:val="00E76BD8"/>
    <w:rsid w:val="00E817D1"/>
    <w:rsid w:val="00EA41F3"/>
    <w:rsid w:val="00EC4500"/>
    <w:rsid w:val="00EC4DC7"/>
    <w:rsid w:val="00F409FA"/>
    <w:rsid w:val="00F428CF"/>
    <w:rsid w:val="00FD2DBC"/>
    <w:rsid w:val="00FF4CF1"/>
    <w:rsid w:val="1049798A"/>
    <w:rsid w:val="293D7B06"/>
    <w:rsid w:val="5FBE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autoRedefine/>
    <w:unhideWhenUsed/>
    <w:qFormat/>
    <w:uiPriority w:val="39"/>
    <w:pPr>
      <w:ind w:left="840" w:leftChars="400"/>
    </w:p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Title"/>
    <w:basedOn w:val="1"/>
    <w:next w:val="1"/>
    <w:link w:val="15"/>
    <w:qFormat/>
    <w:uiPriority w:val="0"/>
    <w:pPr>
      <w:adjustRightInd w:val="0"/>
      <w:snapToGrid w:val="0"/>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563C1" w:themeColor="hyperlink"/>
      <w:u w:val="single"/>
    </w:rPr>
  </w:style>
  <w:style w:type="character" w:customStyle="1" w:styleId="15">
    <w:name w:val="标题 字符"/>
    <w:basedOn w:val="12"/>
    <w:link w:val="9"/>
    <w:qFormat/>
    <w:uiPriority w:val="0"/>
    <w:rPr>
      <w:rFonts w:eastAsia="宋体" w:asciiTheme="majorHAnsi" w:hAnsiTheme="majorHAnsi" w:cstheme="majorBidi"/>
      <w:b/>
      <w:bCs/>
      <w:sz w:val="32"/>
      <w:szCs w:val="32"/>
    </w:rPr>
  </w:style>
  <w:style w:type="character" w:customStyle="1" w:styleId="16">
    <w:name w:val="标题 1 字符"/>
    <w:basedOn w:val="12"/>
    <w:link w:val="2"/>
    <w:qFormat/>
    <w:uiPriority w:val="9"/>
    <w:rPr>
      <w:rFonts w:ascii="Times New Roman" w:hAnsi="Times New Roman" w:eastAsia="宋体" w:cs="Times New Roman"/>
      <w:b/>
      <w:bCs/>
      <w:kern w:val="44"/>
      <w:sz w:val="44"/>
      <w:szCs w:val="44"/>
    </w:rPr>
  </w:style>
  <w:style w:type="character" w:customStyle="1" w:styleId="17">
    <w:name w:val="标题 2 字符"/>
    <w:basedOn w:val="12"/>
    <w:link w:val="3"/>
    <w:qFormat/>
    <w:uiPriority w:val="9"/>
    <w:rPr>
      <w:rFonts w:ascii="等线 Light" w:hAnsi="等线 Light" w:eastAsia="等线 Light" w:cs="Times New Roman"/>
      <w:b/>
      <w:bCs/>
      <w:sz w:val="32"/>
      <w:szCs w:val="32"/>
    </w:rPr>
  </w:style>
  <w:style w:type="paragraph" w:styleId="18">
    <w:name w:val="List Paragraph"/>
    <w:basedOn w:val="1"/>
    <w:qFormat/>
    <w:uiPriority w:val="34"/>
    <w:pPr>
      <w:ind w:firstLine="420" w:firstLineChars="200"/>
    </w:p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0">
    <w:name w:val="页眉 字符"/>
    <w:basedOn w:val="12"/>
    <w:link w:val="6"/>
    <w:qFormat/>
    <w:uiPriority w:val="99"/>
    <w:rPr>
      <w:sz w:val="18"/>
      <w:szCs w:val="18"/>
    </w:rPr>
  </w:style>
  <w:style w:type="character" w:customStyle="1" w:styleId="21">
    <w:name w:val="页脚 字符"/>
    <w:basedOn w:val="12"/>
    <w:link w:val="5"/>
    <w:qFormat/>
    <w:uiPriority w:val="99"/>
    <w:rPr>
      <w:sz w:val="18"/>
      <w:szCs w:val="18"/>
    </w:rPr>
  </w:style>
  <w:style w:type="character" w:customStyle="1" w:styleId="22">
    <w:name w:val="normaltextrun"/>
    <w:basedOn w:val="12"/>
    <w:qFormat/>
    <w:uiPriority w:val="0"/>
  </w:style>
  <w:style w:type="character" w:customStyle="1" w:styleId="23">
    <w:name w:val="eop"/>
    <w:basedOn w:val="12"/>
    <w:qFormat/>
    <w:uiPriority w:val="0"/>
  </w:style>
  <w:style w:type="character" w:styleId="24">
    <w:name w:val="Placeholder Text"/>
    <w:basedOn w:val="12"/>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C2CD1-2158-4CAD-806C-5EEE13FFC6BA}">
  <ds:schemaRefs/>
</ds:datastoreItem>
</file>

<file path=docProps/app.xml><?xml version="1.0" encoding="utf-8"?>
<Properties xmlns="http://schemas.openxmlformats.org/officeDocument/2006/extended-properties" xmlns:vt="http://schemas.openxmlformats.org/officeDocument/2006/docPropsVTypes">
  <Template>Normal</Template>
  <Pages>23</Pages>
  <Words>7752</Words>
  <Characters>9664</Characters>
  <Lines>121</Lines>
  <Paragraphs>34</Paragraphs>
  <TotalTime>0</TotalTime>
  <ScaleCrop>false</ScaleCrop>
  <LinksUpToDate>false</LinksUpToDate>
  <CharactersWithSpaces>10049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2024-05-24T15:57:00Z</dcterms:created>
  <dc:creator>Apache POI</dc:creator>
  <cp:lastModifiedBy>COMIN</cp:lastModifiedBy>
  <dcterms:modified xsi:type="dcterms:W3CDTF">2025-07-01T08:32:12Z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eyJoZGlkIjoiMzEwNTM5NzYwMDRjMzkwZTVkZjY2ODkwMGIxNGU0OTUiLCJ1c2VySWQiOiIzNzYzODY0MzYifQ==</vt:lpwstr>
  </property>
  <property fmtid="{D5CDD505-2E9C-101B-9397-08002B2CF9AE}" pid="3" name="KSOProductBuildVer">
    <vt:lpwstr>2052-12.1.0.21541</vt:lpwstr>
  </property>
  <property fmtid="{D5CDD505-2E9C-101B-9397-08002B2CF9AE}" pid="4" name="ICV">
    <vt:lpwstr>F4E528F3B82D474AAF4503B453892B4B_13</vt:lpwstr>
  </property>
</Properties>
</file>